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JSZC-320500-JZCG-G2025-0566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bookmarkStart w:id="0" w:name="OLE_LINK68"/>
      <w:r>
        <w:rPr>
          <w:rFonts w:hint="eastAsia" w:ascii="宋体" w:hAnsi="宋体"/>
          <w:b/>
          <w:sz w:val="32"/>
        </w:rPr>
        <w:t xml:space="preserve">数字化协同设计与工艺规划平台建设</w:t>
      </w:r>
      <w:bookmarkEnd w:id="0"/>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rPr>
          <w:rStyle w:val="1055"/>
          <w:rFonts w:ascii="宋体" w:hAnsi="宋体" w:cs="Calibri"/>
          <w:bCs/>
          <w:caps/>
          <w:color w:val="auto"/>
          <w:sz w:val="32"/>
        </w:rPr>
        <w:fldChar w:fldCharType="begin"/>
      </w:r>
      <w:r>
        <w:rPr>
          <w:rStyle w:val="1055"/>
          <w:rFonts w:ascii="宋体" w:hAnsi="宋体" w:cs="Calibri"/>
          <w:bCs/>
          <w:caps/>
          <w:color w:val="auto"/>
          <w:sz w:val="32"/>
        </w:rPr>
        <w:instrText xml:space="preserve"> TOC \o "1-1" \h \z \u </w:instrText>
      </w:r>
      <w:r>
        <w:rPr>
          <w:rStyle w:val="1055"/>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5"/>
          <w:rFonts w:ascii="宋体" w:hAnsi="宋体" w:cs="Calibri"/>
          <w:bCs/>
          <w:caps/>
          <w:color w:val="auto"/>
          <w:sz w:val="32"/>
          <w:szCs w:val="32"/>
        </w:rPr>
        <w:t xml:space="preserve">第一章 投标邀请函</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_Toc105397776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5</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5"/>
          <w:rFonts w:ascii="宋体" w:hAnsi="宋体" w:cs="Calibri"/>
          <w:bCs/>
          <w:caps/>
          <w:color w:val="auto"/>
          <w:sz w:val="32"/>
          <w:szCs w:val="32"/>
        </w:rPr>
        <w:t xml:space="preserve">第二章 投标人须知</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_Toc105397777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8</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5"/>
          <w:rFonts w:ascii="宋体" w:hAnsi="宋体" w:cs="Calibri"/>
          <w:bCs/>
          <w:caps/>
          <w:color w:val="auto"/>
          <w:sz w:val="32"/>
          <w:szCs w:val="32"/>
        </w:rPr>
        <w:t xml:space="preserve">第三章 投标文件格式</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_Toc105397778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20</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5"/>
          <w:rFonts w:ascii="宋体" w:hAnsi="宋体" w:cs="Calibri"/>
          <w:bCs/>
          <w:caps/>
          <w:color w:val="auto"/>
          <w:sz w:val="32"/>
          <w:szCs w:val="32"/>
        </w:rPr>
        <w:t xml:space="preserve">第四章 招标书</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_Toc105397793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34</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5"/>
          <w:rFonts w:ascii="宋体" w:hAnsi="宋体" w:cs="Calibri"/>
          <w:bCs/>
          <w:caps/>
          <w:color w:val="auto"/>
          <w:sz w:val="32"/>
          <w:szCs w:val="32"/>
        </w:rPr>
        <w:t xml:space="preserve">第五章 合同及主要条款</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_Toc105397794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47</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5"/>
          <w:rFonts w:ascii="宋体" w:hAnsi="宋体" w:cs="Calibri"/>
          <w:bCs/>
          <w:caps/>
          <w:color w:val="auto"/>
          <w:sz w:val="32"/>
          <w:szCs w:val="32"/>
        </w:rPr>
        <w:t xml:space="preserve">第六章 评标办法和评分标准</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_Toc105397795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54</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6" w:leader="dot"/>
        </w:tabs>
        <w:rPr>
          <w:rFonts w:ascii="宋体" w:hAnsi="宋体"/>
          <w:sz w:val="32"/>
          <w:szCs w:val="32"/>
        </w:rPr>
        <w:outlineLvl w:val="9"/>
      </w:pPr>
      <w:r>
        <w:rPr>
          <w:rStyle w:val="105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6121"/>
      <w:r/>
      <w:bookmarkStart w:id="2" w:name="_Toc17003"/>
      <w:r/>
      <w:bookmarkStart w:id="3" w:name="_Toc15681"/>
      <w:r>
        <w:rPr>
          <w:rFonts w:ascii="宋体" w:hAnsi="宋体"/>
          <w:b/>
          <w:spacing w:val="20"/>
          <w:sz w:val="30"/>
        </w:rPr>
        <w:t xml:space="preserve">前 附 表</w:t>
      </w:r>
      <w:bookmarkEnd w:id="1"/>
      <w:r/>
      <w:bookmarkEnd w:id="2"/>
      <w:r/>
      <w:bookmarkEnd w:id="3"/>
      <w:r/>
      <w:r/>
    </w:p>
    <w:tbl>
      <w:tblPr>
        <w:tblStyle w:val="100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JSZC-320500-JZCG-G2025-0566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数字化协同设计与工艺规划平台建设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联系人:谷工、严工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4" w:name="OLE_LINK15"/>
            <w:r/>
            <w:bookmarkStart w:id="5" w:name="OLE_LINK16"/>
            <w:r>
              <w:rPr>
                <w:rFonts w:hint="eastAsia" w:ascii="宋体" w:hAnsi="宋体"/>
                <w:sz w:val="21"/>
                <w:szCs w:val="21"/>
              </w:rPr>
              <w:t xml:space="preserve">苏州职业技术大学</w:t>
            </w:r>
            <w:bookmarkEnd w:id="4"/>
            <w:r/>
            <w:bookmarkEnd w:id="5"/>
            <w:r/>
            <w:r/>
          </w:p>
          <w:p>
            <w:pPr>
              <w:ind w:left="0"/>
              <w:jc w:val="left"/>
              <w:spacing w:line="440" w:lineRule="exact"/>
              <w:rPr>
                <w:rFonts w:ascii="宋体" w:hAnsi="宋体"/>
                <w:sz w:val="21"/>
                <w:szCs w:val="21"/>
              </w:rPr>
            </w:pPr>
            <w:r>
              <w:rPr>
                <w:rFonts w:hint="eastAsia" w:ascii="宋体" w:hAnsi="宋体"/>
                <w:sz w:val="21"/>
                <w:szCs w:val="21"/>
              </w:rPr>
              <w:t xml:space="preserve">地址：江苏省</w:t>
            </w:r>
            <w:bookmarkStart w:id="6" w:name="OLE_LINK71"/>
            <w:r>
              <w:rPr>
                <w:rFonts w:hint="eastAsia" w:ascii="宋体" w:hAnsi="宋体"/>
                <w:sz w:val="21"/>
                <w:szCs w:val="21"/>
              </w:rPr>
              <w:t xml:space="preserve">苏州市</w:t>
            </w:r>
            <w:bookmarkEnd w:id="6"/>
            <w:r>
              <w:rPr>
                <w:rFonts w:hint="eastAsia" w:ascii="宋体" w:hAnsi="宋体"/>
                <w:sz w:val="21"/>
                <w:szCs w:val="21"/>
              </w:rPr>
              <w:t xml:space="preserve">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联系人：左斌</w:t>
            </w:r>
            <w:r/>
          </w:p>
          <w:p>
            <w:pPr>
              <w:ind w:left="0"/>
              <w:jc w:val="left"/>
              <w:spacing w:line="440" w:lineRule="exact"/>
              <w:rPr>
                <w:rFonts w:ascii="宋体" w:hAnsi="宋体"/>
                <w:sz w:val="21"/>
                <w:szCs w:val="21"/>
              </w:rPr>
            </w:pPr>
            <w:r>
              <w:rPr>
                <w:rFonts w:hint="eastAsia" w:ascii="宋体" w:hAnsi="宋体"/>
                <w:sz w:val="21"/>
                <w:szCs w:val="21"/>
              </w:rPr>
              <w:t xml:space="preserve">联系电话：18114362006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苏州高新区邓尉路105号狮山科技馆8楼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中标金额的5%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0"/>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数字化协同设计与工艺规划平台建设</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月28</w:t>
      </w:r>
      <w:r>
        <w:rPr>
          <w:rFonts w:hint="eastAsia" w:ascii="宋体" w:hAnsi="宋体"/>
          <w:b/>
          <w:sz w:val="21"/>
          <w:szCs w:val="21"/>
          <w:u w:val="single"/>
        </w:rPr>
        <w:t xml:space="preserve">日09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7"/>
        <w:ind w:left="0" w:firstLine="420"/>
        <w:spacing w:line="360" w:lineRule="auto"/>
        <w:rPr>
          <w:rFonts w:ascii="宋体" w:hAnsi="宋体"/>
          <w:sz w:val="21"/>
          <w:szCs w:val="21"/>
        </w:rPr>
      </w:pPr>
      <w:r>
        <w:rPr>
          <w:rFonts w:hint="eastAsia" w:ascii="宋体" w:hAnsi="宋体"/>
          <w:sz w:val="21"/>
          <w:szCs w:val="21"/>
        </w:rPr>
        <w:t xml:space="preserve">1.项目编号：JSZC-320500-JZCG-G2025-0566</w:t>
      </w:r>
      <w:r/>
    </w:p>
    <w:p>
      <w:pPr>
        <w:pStyle w:val="1007"/>
        <w:ind w:left="0" w:firstLine="420"/>
        <w:spacing w:line="360" w:lineRule="auto"/>
        <w:rPr>
          <w:rFonts w:ascii="宋体" w:hAnsi="宋体"/>
          <w:sz w:val="21"/>
          <w:szCs w:val="21"/>
        </w:rPr>
      </w:pPr>
      <w:r>
        <w:rPr>
          <w:rFonts w:hint="eastAsia" w:ascii="宋体" w:hAnsi="宋体"/>
          <w:sz w:val="21"/>
          <w:szCs w:val="21"/>
        </w:rPr>
        <w:t xml:space="preserve">2.项目名称：数字化协同设计与工艺规划平台建设</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3.采购方式：</w:t>
      </w:r>
      <w:bookmarkStart w:id="10" w:name="OLE_LINK69"/>
      <w:r/>
      <w:bookmarkStart w:id="11" w:name="OLE_LINK70"/>
      <w:r>
        <w:rPr>
          <w:rFonts w:hint="eastAsia" w:ascii="宋体" w:hAnsi="宋体"/>
          <w:sz w:val="21"/>
          <w:szCs w:val="21"/>
        </w:rPr>
        <w:t xml:space="preserve">公开</w:t>
      </w:r>
      <w:bookmarkEnd w:id="10"/>
      <w:r/>
      <w:bookmarkEnd w:id="11"/>
      <w:r>
        <w:rPr>
          <w:rFonts w:hint="eastAsia" w:ascii="宋体" w:hAnsi="宋体"/>
          <w:sz w:val="21"/>
          <w:szCs w:val="21"/>
        </w:rPr>
        <w:t xml:space="preserve">招标</w:t>
      </w:r>
      <w:r/>
    </w:p>
    <w:p>
      <w:pPr>
        <w:pStyle w:val="1007"/>
        <w:ind w:left="0" w:firstLine="420"/>
        <w:spacing w:line="360" w:lineRule="auto"/>
        <w:rPr>
          <w:rFonts w:ascii="宋体" w:hAnsi="宋体"/>
          <w:sz w:val="21"/>
          <w:szCs w:val="21"/>
        </w:rPr>
      </w:pPr>
      <w:r>
        <w:rPr>
          <w:rFonts w:hint="eastAsia" w:ascii="宋体" w:hAnsi="宋体"/>
          <w:sz w:val="21"/>
          <w:szCs w:val="21"/>
        </w:rPr>
        <w:t xml:space="preserve">4.预算金额：壹佰贰拾叁万元整(¥1230000.00)</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5.最高限价：壹佰贰拾叁万元整(¥1230000.00)</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自合同签订生效后30天内全部标的物交付安装调试完毕。自最终验收合格之日起，免费质保期3年。</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3.方式：</w:t>
      </w:r>
      <w:r/>
    </w:p>
    <w:p>
      <w:pPr>
        <w:pStyle w:val="100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年11</w:t>
      </w:r>
      <w:r>
        <w:rPr>
          <w:rFonts w:hint="eastAsia" w:ascii="宋体" w:hAnsi="宋体" w:cs="Times New Roman"/>
          <w:sz w:val="21"/>
          <w:szCs w:val="21"/>
          <w:u w:val="single"/>
        </w:rPr>
        <w:t xml:space="preserve">月28</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r>
      <w:r>
        <w:rPr>
          <w:rFonts w:hint="eastAsia" w:ascii="宋体" w:hAnsi="宋体"/>
          <w:sz w:val="21"/>
          <w:szCs w:val="21"/>
          <w:u w:val="single"/>
        </w:rPr>
        <w:t xml:space="preserve">11</w:t>
      </w:r>
      <w:r>
        <w:rPr>
          <w:rFonts w:hint="eastAsia" w:ascii="宋体" w:hAnsi="宋体" w:cs="Times New Roman"/>
          <w:sz w:val="21"/>
          <w:szCs w:val="21"/>
          <w:u w:val="single"/>
        </w:rPr>
        <w:t xml:space="preserve">月28</w:t>
      </w:r>
      <w:r>
        <w:rPr>
          <w:rFonts w:hint="eastAsia" w:ascii="宋体" w:hAnsi="宋体" w:cs="Times New Roman"/>
          <w:sz w:val="21"/>
          <w:szCs w:val="21"/>
          <w:u w:val="single"/>
        </w:rPr>
        <w:t xml:space="preserve">日</w:t>
      </w:r>
      <w:r/>
      <w:r>
        <w:rPr>
          <w:rFonts w:ascii="宋体" w:hAnsi="宋体" w:cs="Times New Roman"/>
          <w:sz w:val="21"/>
          <w:szCs w:val="21"/>
          <w:u w:val="single"/>
        </w:rPr>
      </w:r>
      <w:r>
        <w:rPr>
          <w:rFonts w:hint="eastAsia"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名称：苏州职业技术大学 </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地址：江苏省苏州市吴中区致能大道106号 </w:t>
      </w:r>
      <w:r/>
    </w:p>
    <w:p>
      <w:pPr>
        <w:pStyle w:val="1007"/>
        <w:ind w:left="0" w:firstLine="420"/>
        <w:spacing w:line="360" w:lineRule="auto"/>
        <w:rPr>
          <w:rFonts w:ascii="宋体" w:hAnsi="宋体"/>
          <w:sz w:val="21"/>
          <w:szCs w:val="21"/>
        </w:rPr>
      </w:pPr>
      <w:r>
        <w:rPr>
          <w:rFonts w:hint="eastAsia" w:ascii="宋体" w:hAnsi="宋体"/>
          <w:sz w:val="21"/>
          <w:szCs w:val="21"/>
        </w:rPr>
        <w:t xml:space="preserve">联系人：左斌</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联系方式：18114362006 </w:t>
      </w:r>
      <w:r/>
    </w:p>
    <w:p>
      <w:pPr>
        <w:pStyle w:val="100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联系方式：69820888、69820896、69820921</w:t>
      </w:r>
      <w:r/>
    </w:p>
    <w:p>
      <w:pPr>
        <w:pStyle w:val="100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7"/>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1007"/>
        <w:ind w:left="0" w:firstLine="420"/>
        <w:spacing w:line="360" w:lineRule="auto"/>
        <w:rPr>
          <w:rFonts w:ascii="宋体" w:hAnsi="宋体"/>
          <w:sz w:val="21"/>
          <w:szCs w:val="21"/>
        </w:rPr>
      </w:pPr>
      <w:r>
        <w:rPr>
          <w:rFonts w:hint="eastAsia" w:ascii="宋体" w:hAnsi="宋体"/>
          <w:sz w:val="21"/>
          <w:szCs w:val="21"/>
        </w:rPr>
        <w:t xml:space="preserve">电话：69820888、69820896、69820921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r/>
      <w:r/>
    </w:p>
    <w:p>
      <w:pPr>
        <w:pStyle w:val="1016"/>
      </w:pPr>
      <w:r/>
      <w:r/>
    </w:p>
    <w:p>
      <w:r/>
      <w:r/>
    </w:p>
    <w:p>
      <w:pPr>
        <w:pStyle w:val="1016"/>
      </w:pPr>
      <w:r/>
      <w:r/>
    </w:p>
    <w:p>
      <w:r/>
      <w:r/>
    </w:p>
    <w:p>
      <w:pPr>
        <w:pStyle w:val="1016"/>
        <w:ind w:left="0" w:firstLine="0"/>
      </w:pPr>
      <w:r/>
      <w:r/>
    </w:p>
    <w:p>
      <w:pPr>
        <w:pStyle w:val="991"/>
        <w:ind w:left="0" w:firstLine="0"/>
        <w:jc w:val="center"/>
        <w:rPr>
          <w:rFonts w:ascii="宋体" w:hAnsi="宋体"/>
          <w:b/>
          <w:sz w:val="44"/>
          <w:szCs w:val="22"/>
        </w:rPr>
      </w:pPr>
      <w:r/>
      <w:bookmarkStart w:id="12" w:name="_Toc105397777"/>
      <w:r/>
      <w:bookmarkStart w:id="13" w:name="_Toc6217"/>
      <w:r/>
      <w:bookmarkStart w:id="14"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07"/>
        <w:ind w:left="0" w:firstLine="422"/>
        <w:spacing w:line="360" w:lineRule="auto"/>
        <w:rPr>
          <w:rFonts w:ascii="宋体" w:hAnsi="宋体"/>
          <w:b/>
          <w:sz w:val="21"/>
          <w:szCs w:val="21"/>
        </w:rPr>
      </w:pPr>
      <w:r/>
      <w:bookmarkStart w:id="16" w:name="_Toc20132"/>
      <w:r/>
      <w:bookmarkStart w:id="17" w:name="_Toc13437"/>
      <w:r>
        <w:rPr>
          <w:rFonts w:hint="eastAsia" w:ascii="宋体" w:hAnsi="宋体"/>
          <w:b/>
          <w:sz w:val="21"/>
          <w:szCs w:val="21"/>
        </w:rPr>
        <w:t xml:space="preserve">一、说明和释义</w:t>
      </w:r>
      <w:bookmarkEnd w:id="16"/>
      <w:r/>
      <w:bookmarkEnd w:id="17"/>
      <w:r/>
      <w:r/>
    </w:p>
    <w:p>
      <w:pPr>
        <w:pStyle w:val="1007"/>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0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7"/>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0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07"/>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0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0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7"/>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7"/>
        <w:ind w:left="0" w:firstLine="420"/>
        <w:spacing w:line="360" w:lineRule="auto"/>
      </w:pPr>
      <w:r>
        <w:rPr>
          <w:rFonts w:hint="eastAsia" w:ascii="宋体" w:hAnsi="宋体"/>
          <w:sz w:val="21"/>
          <w:szCs w:val="21"/>
        </w:rPr>
        <w:t xml:space="preserve">因业务办公地点搬迁，请供应商按照以下联系电话及地址送达或邮寄质疑函。</w:t>
      </w:r>
      <w:r/>
    </w:p>
    <w:p>
      <w:pPr>
        <w:pStyle w:val="1007"/>
        <w:ind w:left="0" w:firstLine="420"/>
        <w:spacing w:line="360" w:lineRule="auto"/>
      </w:pPr>
      <w:r>
        <w:rPr>
          <w:rFonts w:hint="eastAsia" w:ascii="宋体" w:hAnsi="宋体"/>
          <w:sz w:val="21"/>
          <w:szCs w:val="21"/>
        </w:rPr>
        <w:t xml:space="preserve">（1）2025年11月27日之前</w:t>
      </w:r>
      <w:r/>
    </w:p>
    <w:p>
      <w:pPr>
        <w:pStyle w:val="1007"/>
        <w:ind w:left="0" w:firstLine="420"/>
        <w:spacing w:line="360" w:lineRule="auto"/>
      </w:pPr>
      <w:r>
        <w:rPr>
          <w:rFonts w:hint="eastAsia" w:ascii="宋体" w:hAnsi="宋体"/>
          <w:sz w:val="21"/>
          <w:szCs w:val="21"/>
        </w:rPr>
        <w:t xml:space="preserve">联系电话：0512-69820894</w:t>
      </w:r>
      <w:r/>
    </w:p>
    <w:p>
      <w:pPr>
        <w:pStyle w:val="1007"/>
        <w:ind w:left="0" w:firstLine="420"/>
        <w:spacing w:line="360" w:lineRule="auto"/>
      </w:pPr>
      <w:r>
        <w:rPr>
          <w:rFonts w:hint="eastAsia" w:ascii="宋体" w:hAnsi="宋体"/>
          <w:sz w:val="21"/>
          <w:szCs w:val="21"/>
        </w:rPr>
        <w:t xml:space="preserve">联系地址：苏州市姑苏区平泷路251号城市生活广场西侧裙楼四楼4006室。</w:t>
      </w:r>
      <w:r/>
    </w:p>
    <w:p>
      <w:pPr>
        <w:pStyle w:val="1007"/>
        <w:ind w:left="0" w:firstLine="420"/>
        <w:spacing w:line="360" w:lineRule="auto"/>
      </w:pPr>
      <w:r>
        <w:rPr>
          <w:rFonts w:hint="eastAsia" w:ascii="宋体" w:hAnsi="宋体"/>
          <w:sz w:val="21"/>
          <w:szCs w:val="21"/>
        </w:rPr>
        <w:t xml:space="preserve">（2）2025年11月27日（含）之后</w:t>
      </w:r>
      <w:r/>
    </w:p>
    <w:p>
      <w:pPr>
        <w:pStyle w:val="1007"/>
        <w:ind w:left="0" w:firstLine="420"/>
        <w:spacing w:line="360" w:lineRule="auto"/>
      </w:pPr>
      <w:r>
        <w:rPr>
          <w:rFonts w:hint="eastAsia" w:ascii="宋体" w:hAnsi="宋体"/>
          <w:sz w:val="21"/>
          <w:szCs w:val="21"/>
        </w:rPr>
        <w:t xml:space="preserve">联系电话：0512-69826795</w:t>
      </w:r>
      <w:r/>
    </w:p>
    <w:p>
      <w:pPr>
        <w:pStyle w:val="1007"/>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联系地址：苏州高新区邓尉路105号狮山科技馆7楼集采业务办公室。</w:t>
      </w:r>
      <w:r/>
      <w:r>
        <w:rPr>
          <w:rFonts w:hint="eastAsia" w:ascii="宋体" w:hAnsi="宋体"/>
          <w:sz w:val="21"/>
          <w:szCs w:val="21"/>
        </w:rPr>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0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lang w:val="en-US" w:eastAsia="zh-CN"/>
        </w:rPr>
        <w:t xml:space="preserve">14.1.5.6</w:t>
      </w:r>
      <w:r>
        <w:rPr>
          <w:rFonts w:hint="eastAsia" w:ascii="宋体" w:hAnsi="宋体"/>
          <w:sz w:val="21"/>
          <w:szCs w:val="21"/>
        </w:rPr>
        <w:t xml:space="preserve">本项目所采购服务器，其参数满足《通用服务器政府采购需求标准（2023版）》中所有带有“*”指标项要求。</w:t>
      </w:r>
      <w:r/>
    </w:p>
    <w:p>
      <w:pPr>
        <w:ind w:left="0" w:firstLine="420"/>
        <w:spacing w:line="360" w:lineRule="auto"/>
        <w:rPr>
          <w:rFonts w:hint="default" w:ascii="宋体" w:hAnsi="宋体"/>
          <w:sz w:val="21"/>
          <w:szCs w:val="21"/>
          <w:lang w:val="en-US" w:eastAsia="zh-CN"/>
        </w:rPr>
      </w:pPr>
      <w:r>
        <w:rPr>
          <w:rFonts w:hint="eastAsia" w:ascii="宋体" w:hAnsi="宋体"/>
          <w:sz w:val="21"/>
          <w:szCs w:val="21"/>
          <w:lang w:val="en-US" w:eastAsia="zh-CN"/>
        </w:rPr>
        <w:t xml:space="preserve">14.1.5.7</w:t>
      </w:r>
      <w:r>
        <w:rPr>
          <w:rFonts w:hint="eastAsia" w:ascii="宋体" w:hAnsi="宋体"/>
          <w:sz w:val="21"/>
          <w:szCs w:val="21"/>
        </w:rPr>
        <w:t xml:space="preserve">本项目所采购服务器中涉及的操作系统，其参数满足《操作系统政府采购需求标准（2023版）》中所有带有“*”指标项要求。</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lang w:val="en-US" w:eastAsia="zh-CN"/>
        </w:rPr>
        <w:t xml:space="preserve">8</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hint="eastAsia" w:ascii="宋体" w:hAnsi="宋体" w:cs="宋体"/>
          <w:b/>
          <w:bCs/>
          <w:sz w:val="21"/>
          <w:szCs w:val="21"/>
          <w:highlight w:val="yellow"/>
          <w:lang w:val="en-US" w:eastAsia="zh-CN"/>
        </w:rPr>
        <w:t xml:space="preserve">8</w:t>
      </w:r>
      <w:bookmarkStart w:id="125" w:name="_GoBack"/>
      <w:r/>
      <w:bookmarkEnd w:id="125"/>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6" w:name="_Toc25608"/>
      <w:r/>
      <w:bookmarkStart w:id="27"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r/>
      <w:bookmarkEnd w:id="27"/>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7"/>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8" w:name="_Toc29371"/>
      <w:r/>
      <w:bookmarkStart w:id="29"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8"/>
      <w:r/>
      <w:bookmarkEnd w:id="29"/>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bookmarkStart w:id="30" w:name="OLE_LINK20"/>
      <w:r/>
      <w:bookmarkStart w:id="31"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2" w:name="OLE_LINK5"/>
      <w:r/>
      <w:bookmarkStart w:id="33"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2"/>
      <w:r/>
      <w:bookmarkEnd w:id="33"/>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4" w:name="OLE_LINK4"/>
      <w:r/>
      <w:bookmarkStart w:id="35"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6" w:name="OLE_LINK2"/>
      <w:r/>
      <w:bookmarkStart w:id="37"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6"/>
      <w:r/>
      <w:bookmarkEnd w:id="37"/>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14:textFill>
            <w14:solidFill>
              <w14:schemeClr w14:val="tx1"/>
            </w14:solidFill>
          </w14:textFill>
        </w:rPr>
        <w:t xml:space="preserve">，</w:t>
      </w:r>
      <w:bookmarkEnd w:id="38"/>
      <w:r/>
      <w:bookmarkEnd w:id="39"/>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0" w:name="OLE_LINK8"/>
      <w:r/>
      <w:bookmarkStart w:id="41" w:name="OLE_LINK7"/>
      <w:r>
        <w:rPr>
          <w:rFonts w:hint="eastAsia" w:ascii="宋体" w:hAnsi="宋体"/>
          <w:b/>
          <w:color w:val="000000" w:themeColor="text1"/>
          <w:sz w:val="21"/>
          <w:szCs w:val="21"/>
          <w14:textFill>
            <w14:solidFill>
              <w14:schemeClr w14:val="tx1"/>
            </w14:solidFill>
          </w14:textFill>
        </w:rPr>
        <w:t xml:space="preserve">薪资</w:t>
      </w:r>
      <w:bookmarkEnd w:id="40"/>
      <w:r/>
      <w:bookmarkEnd w:id="41"/>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46" w:name="_Toc24711"/>
      <w:r/>
      <w:bookmarkStart w:id="47" w:name="_Toc7264"/>
      <w:r/>
      <w:bookmarkStart w:id="48" w:name="_Toc105397778"/>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3821"/>
      <w:r/>
      <w:bookmarkStart w:id="51" w:name="_Toc71810480"/>
      <w:r/>
      <w:bookmarkStart w:id="52" w:name="_Toc105397779"/>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10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5"/>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1"/>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6"/>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4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05397783"/>
      <w:r/>
      <w:bookmarkStart w:id="72" w:name="_Toc21574"/>
      <w:r/>
      <w:bookmarkStart w:id="73" w:name="_Toc19621"/>
      <w:r/>
      <w:bookmarkStart w:id="7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数字化协同设计与工艺规划平台建设</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32206"/>
      <w:r/>
      <w:bookmarkStart w:id="78" w:name="_Toc15378"/>
      <w:r/>
      <w:bookmarkStart w:id="7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4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rPr>
        <w:t xml:space="preserve"> </w:t>
      </w:r>
      <w:bookmarkEnd w:id="81"/>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2" w:name="_Toc27138"/>
      <w:r/>
      <w:bookmarkStart w:id="83" w:name="_Toc31973"/>
      <w:r>
        <w:rPr>
          <w:rFonts w:hint="eastAsia" w:ascii="宋体" w:hAnsi="宋体"/>
          <w:b/>
          <w:sz w:val="21"/>
          <w:szCs w:val="21"/>
        </w:rPr>
        <w:t xml:space="preserve">投标货物和服务数量、品牌规格、性能、交货期说明表</w:t>
      </w:r>
      <w:r/>
    </w:p>
    <w:tbl>
      <w:tblPr>
        <w:tblStyle w:val="1001"/>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5"/>
        <w:rPr>
          <w:rFonts w:ascii="宋体" w:hAnsi="宋体"/>
        </w:rPr>
      </w:pPr>
      <w:r>
        <w:rPr>
          <w:rFonts w:ascii="宋体" w:hAnsi="宋体"/>
        </w:rPr>
      </w:r>
      <w:r/>
    </w:p>
    <w:p>
      <w:r/>
      <w:r/>
    </w:p>
    <w:p>
      <w:pPr>
        <w:pStyle w:val="1016"/>
      </w:pPr>
      <w:r/>
      <w:r/>
    </w:p>
    <w:p>
      <w:r/>
      <w:r/>
    </w:p>
    <w:p>
      <w:pPr>
        <w:pStyle w:val="1015"/>
        <w:ind w:firstLine="0"/>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6"/>
      <w:r>
        <w:rPr>
          <w:rFonts w:ascii="宋体" w:hAnsi="宋体"/>
          <w:b/>
          <w:sz w:val="21"/>
          <w:szCs w:val="21"/>
        </w:rPr>
        <w:t xml:space="preserve">附件8</w:t>
      </w:r>
      <w:r>
        <w:rPr>
          <w:rFonts w:hint="eastAsia" w:ascii="宋体" w:hAnsi="宋体"/>
          <w:b/>
          <w:sz w:val="21"/>
          <w:szCs w:val="21"/>
        </w:rPr>
        <w:t xml:space="preserve">.</w:t>
      </w:r>
      <w:bookmarkEnd w:id="84"/>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105397787"/>
      <w:r/>
      <w:bookmarkStart w:id="86"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r/>
      <w:r/>
    </w:p>
    <w:p>
      <w:pPr>
        <w:pStyle w:val="1016"/>
      </w:pPr>
      <w:r/>
      <w:r/>
    </w:p>
    <w:p>
      <w:r/>
      <w:r/>
    </w:p>
    <w:p>
      <w:pPr>
        <w:pStyle w:val="1016"/>
      </w:pPr>
      <w:r/>
      <w:r/>
    </w:p>
    <w:p>
      <w:r/>
      <w:r/>
    </w:p>
    <w:p>
      <w:pPr>
        <w:pStyle w:val="1016"/>
      </w:pPr>
      <w:r/>
      <w:r/>
    </w:p>
    <w:p>
      <w:pPr>
        <w:pStyle w:val="1016"/>
      </w:p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82"/>
      <w:r/>
      <w:bookmarkEnd w:id="83"/>
      <w:r/>
      <w:r/>
    </w:p>
    <w:p>
      <w:pPr>
        <w:rPr>
          <w:rFonts w:ascii="宋体" w:hAnsi="宋体"/>
        </w:rPr>
      </w:pPr>
      <w:r/>
      <w:bookmarkStart w:id="87" w:name="_Toc71810490"/>
      <w:r>
        <w:rPr>
          <w:rFonts w:ascii="宋体" w:hAnsi="宋体"/>
        </w:rPr>
        <w:t xml:space="preserve"> </w:t>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9" w:name="OLE_LINK23"/>
      <w:r/>
      <w:bookmarkStart w:id="90" w:name="OLE_LINK21"/>
      <w:r/>
      <w:bookmarkStart w:id="91"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2"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92"/>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93" w:name="OLE_LINK19"/>
      <w:r/>
      <w:bookmarkStart w:id="94" w:name="OLE_LINK18"/>
      <w:r>
        <w:rPr>
          <w:rFonts w:hint="eastAsia" w:ascii="宋体" w:hAnsi="宋体"/>
          <w:b/>
          <w:color w:val="000000" w:themeColor="text1"/>
          <w:sz w:val="21"/>
          <w:szCs w:val="21"/>
          <w:lang w:val="zh-CN"/>
          <w14:textFill>
            <w14:solidFill>
              <w14:schemeClr w14:val="tx1"/>
            </w14:solidFill>
          </w14:textFill>
        </w:rPr>
        <w:t xml:space="preserve">评标委员会</w:t>
      </w:r>
      <w:bookmarkEnd w:id="93"/>
      <w:r/>
      <w:bookmarkEnd w:id="94"/>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9"/>
      <w:r/>
      <w:bookmarkEnd w:id="90"/>
      <w:r/>
      <w:bookmarkEnd w:id="91"/>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rPr>
          <w:lang w:val="zh-CN"/>
        </w:rPr>
      </w:pPr>
      <w:r>
        <w:rPr>
          <w:lang w:val="zh-CN"/>
        </w:rPr>
        <w:br w:type="page" w:clear="all"/>
      </w:r>
      <w:r/>
    </w:p>
    <w:p>
      <w:pPr>
        <w:ind w:left="0"/>
        <w:jc w:val="left"/>
        <w:rPr>
          <w:rFonts w:ascii="宋体" w:hAnsi="宋体"/>
          <w:b/>
          <w:sz w:val="21"/>
          <w:szCs w:val="21"/>
        </w:rPr>
        <w:outlineLvl w:val="0"/>
      </w:pPr>
      <w:r>
        <w:rPr>
          <w:rFonts w:ascii="宋体" w:hAnsi="宋体"/>
          <w:b/>
          <w:sz w:val="21"/>
          <w:szCs w:val="21"/>
        </w:rPr>
        <w:t xml:space="preserve">附件1</w:t>
      </w:r>
      <w:r>
        <w:rPr>
          <w:rFonts w:hint="eastAsia" w:ascii="宋体" w:hAnsi="宋体"/>
          <w:b/>
          <w:sz w:val="21"/>
          <w:szCs w:val="21"/>
        </w:rPr>
        <w:t xml:space="preserve">3.投标单位承诺函</w:t>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w:t>
      </w:r>
      <w:r/>
    </w:p>
    <w:p>
      <w:pPr>
        <w:ind w:left="0" w:firstLine="420"/>
        <w:jc w:val="left"/>
        <w:spacing w:line="360" w:lineRule="auto"/>
        <w:rPr>
          <w:rFonts w:ascii="宋体" w:hAnsi="宋体"/>
          <w:sz w:val="21"/>
          <w:szCs w:val="21"/>
          <w:highlight w:val="none"/>
        </w:rPr>
      </w:pPr>
      <w:r>
        <w:rPr>
          <w:rFonts w:hint="eastAsia" w:ascii="宋体" w:hAnsi="宋体"/>
          <w:sz w:val="21"/>
          <w:szCs w:val="21"/>
          <w:highlight w:val="none"/>
        </w:rPr>
        <w:t xml:space="preserve">本项目所采购服务器，其参数满足《通用服务器政府采购需求标准（2023版）》中所有带有“*”指标项要求。</w:t>
      </w:r>
      <w:r/>
    </w:p>
    <w:p>
      <w:pPr>
        <w:pStyle w:val="1016"/>
        <w:ind w:left="0" w:firstLine="420"/>
        <w:rPr>
          <w:rFonts w:ascii="宋体" w:hAnsi="宋体" w:cs="宋体"/>
          <w:sz w:val="21"/>
          <w:szCs w:val="21"/>
          <w:highlight w:val="none"/>
        </w:rPr>
      </w:pPr>
      <w:r>
        <w:rPr>
          <w:rFonts w:hint="eastAsia" w:ascii="宋体" w:hAnsi="宋体" w:cs="宋体"/>
          <w:sz w:val="21"/>
          <w:szCs w:val="21"/>
          <w:highlight w:val="none"/>
        </w:rPr>
        <w:t xml:space="preserve">本项目所采购服务器中涉及的操作系统，其参数满足《操作系统政府采购需求标准（2023版）》中所有带有“*”指标项要求。</w:t>
      </w:r>
      <w:r/>
    </w:p>
    <w:p>
      <w:r/>
      <w:r/>
    </w:p>
    <w:p>
      <w:pPr>
        <w:pStyle w:val="1016"/>
        <w:ind w:left="400"/>
      </w:p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rPr>
          <w:lang w:val="zh-CN"/>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rPr>
          <w:lang w:val="zh-CN"/>
        </w:rPr>
      </w:pPr>
      <w:r>
        <w:rPr>
          <w:lang w:val="zh-CN"/>
        </w:rPr>
      </w:r>
      <w:r/>
    </w:p>
    <w:p>
      <w:pPr>
        <w:rPr>
          <w:rFonts w:ascii="宋体" w:hAnsi="宋体"/>
          <w:b/>
          <w:sz w:val="44"/>
          <w:szCs w:val="22"/>
        </w:rPr>
      </w:pPr>
      <w:r/>
      <w:bookmarkStart w:id="95" w:name="_Toc4098"/>
      <w:r/>
      <w:bookmarkStart w:id="96" w:name="_Toc105397793"/>
      <w:r/>
      <w:bookmarkStart w:id="97" w:name="_Toc23660"/>
      <w:r>
        <w:rPr>
          <w:rFonts w:hint="eastAsia" w:ascii="宋体" w:hAnsi="宋体"/>
          <w:b/>
          <w:sz w:val="44"/>
          <w:szCs w:val="22"/>
        </w:rP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苏州职业技术大学 </w:t>
      </w:r>
      <w:r>
        <w:rPr>
          <w:rFonts w:ascii="宋体" w:hAnsi="宋体"/>
          <w:sz w:val="21"/>
        </w:rPr>
        <w:t xml:space="preserve">的委托，就</w:t>
      </w:r>
      <w:r>
        <w:rPr>
          <w:rFonts w:hint="eastAsia" w:ascii="宋体" w:hAnsi="宋体"/>
          <w:sz w:val="21"/>
          <w:u w:val="single"/>
        </w:rPr>
        <w:t xml:space="preserve"> 数字化协同设计与工艺规划平台建设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一、项目编号：JSZC-320500-JZCG-G2025-0566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二、项目名称：数字化协同设计与工艺规划平台建设</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三、预算金额：壹佰贰拾叁万元整(¥1230000.00)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四、最高限价：壹佰贰拾叁万元整(¥1230000.00)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自合同签订生效后30天内全部标的物交付安装调试完毕。自最终验收合格之日起，免费质保期3年。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1、需实现的功能或者目标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数字化协同设计与工艺规划平台建设作为专业群建设的纽带，兼顾学院数控技术、机械设计及自动化等其他专业在课程教学、赛项训练、证书考核等方面共性需求的考虑，进行整体规划和优先级的划分，为数字化设计与制造技术专业服务，更为学院专业群的整体升级赋能。</w:t>
      </w:r>
      <w:r/>
    </w:p>
    <w:p>
      <w:pPr>
        <w:ind w:left="0" w:firstLine="420"/>
        <w:spacing w:line="360" w:lineRule="auto"/>
        <w:tabs>
          <w:tab w:val="left" w:pos="420" w:leader="none"/>
        </w:tabs>
        <w:rPr>
          <w:rFonts w:ascii="宋体" w:hAnsi="宋体"/>
          <w:sz w:val="21"/>
        </w:rPr>
      </w:pPr>
      <w:r>
        <w:rPr>
          <w:rFonts w:hint="eastAsia" w:ascii="宋体" w:hAnsi="宋体"/>
          <w:sz w:val="21"/>
        </w:rPr>
        <w:t xml:space="preserve">其建设的内容主要包含数字化设计、数字化工艺规划、数字化管理平台/PLM以及项目式教学条件建设，主要承载产品及工艺数字化设计及管理相关技术，满足产品正向与逆向设计、增材与机加设计、工艺规划与仿真等实训与科研需求，满足CAD/CAPP相关技术实训与科研要求，另外通过产品、工艺设计数据集成，满足PLM数字化设计管控相关技术实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2、采购清单</w:t>
      </w:r>
      <w:r/>
    </w:p>
    <w:tbl>
      <w:tblPr>
        <w:tblStyle w:val="1050"/>
        <w:tblW w:w="10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0"/>
        <w:gridCol w:w="851"/>
        <w:gridCol w:w="8338"/>
        <w:gridCol w:w="487"/>
        <w:gridCol w:w="407"/>
      </w:tblGrid>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序号</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设备名称</w:t>
            </w:r>
            <w:r/>
          </w:p>
        </w:tc>
        <w:tc>
          <w:tcPr>
            <w:tcW w:w="8338"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功能参数要求</w:t>
            </w:r>
            <w:r/>
          </w:p>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（需执行的相关标准、规范，质量、安全、技术规格、物理特性等要求）</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数量</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单位</w:t>
            </w:r>
            <w:r/>
          </w:p>
        </w:tc>
      </w:tr>
      <w:tr>
        <w:trPr>
          <w:trHeight w:val="527"/>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数字化工艺规划及管理平台</w:t>
            </w:r>
            <w:r/>
          </w:p>
        </w:tc>
        <w:tc>
          <w:tcPr>
            <w:tcW w:w="8338" w:type="dxa"/>
            <w:vAlign w:val="center"/>
            <w:textDirection w:val="lrTb"/>
            <w:noWrap w:val="false"/>
          </w:tcPr>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一、数字化工艺规划</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（一）CAPP工艺图表</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1、独立运行的专业工艺软件。</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2、工艺图形绘制和编辑功能：提供支持利用现有CAD系统的图形文件，如DWG文件的输入；绘制和编辑各种工艺简图、工艺模板；提供工艺简图中需要的定位夹紧符号库。提供图形绘制和编辑工具，同时提供智能化标注方式，具体标注的所有细节均由系统自动完成；提供诸如尺寸驱动、局部放大图工具。</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文字编辑功能：支持“所见即所得”的填写方式，用户可以自己定义表格、填写表格，还可以拷贝粘贴Word、Excel软件的数据；并且提供各种特殊工程图形符号的直接填写，可以对卡片中的文字字体、字号、颜色以及文字对齐方式进行编辑和修改。支持局部文本风格的调整，对于选中文本，支持是否加粗及颜色的更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卡片编辑功能：支持通过行记录生成工序卡、检验卡和刀具清单卡。支持添加单行记录、多行记录，支持行记录单选和多选，支持删除行记录。支持行记录合并和拆分。支持行记录剪切、复制、粘贴。支持行记录上移和下移操作。支持根据规则自动生成工序号。支持列格式刷功能，可以修改指定单元格或列的对齐方式、字体、文字高度和颜色。</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卡片操作功能：支持卡片借用。支持添加首页卡片、续页、附页、子卡，支持插入续页卡。支持删除卡片。支持卡片复制、粘贴。支持上一张卡片、下一张卡片操作。支持修改卡片关联关系。支持编辑当前卡片规程。支持当前卡片模板的抽取。支持批量生成工序卡。支持一键定位过程卡。</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6、尺寸提取功能：支持将卡片中图形的尺寸提取到指定卡片的表格中，并实现尺寸的自动编号。尺寸顺序支持按照拾取</w:t>
            </w:r>
            <w:r>
              <w:rPr>
                <w:rFonts w:asciiTheme="minorHAnsi" w:hAnsiTheme="minorHAnsi" w:eastAsiaTheme="minorEastAsia" w:cstheme="minorBidi"/>
                <w:sz w:val="21"/>
                <w:szCs w:val="22"/>
              </w:rPr>
              <w:t xml:space="preserve">顺序排序，也支持按照系统中起始位置和旋转方向设置的规则自动排序。尺寸提取时，支持根据尺寸类型如线性标注、角度标注、形位公差、粗糙度等类型进行排序。支持未注公差的自动计算和填写。尺寸提取后，能根据提取的尺寸和设置好的匹配条件自动匹配量具。尺寸提取时，支持将尺寸公差中的基本尺寸、上偏差、下偏差进行拆分，并支持平均尺寸、最大极限尺寸和最小极限尺寸的计算。支持指定尺寸序号，指定时支持序号顺移和序号交换。删除序号时表格中的尺寸会关联删除。当有序号删除后，支持序号重排。当图形、尺寸位置发生变化后，系统支持序号位置更新。</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7、典型工艺借用：支持典型工艺的管理及借用，支持重用历史或卡片上的工艺数据。</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8、具备三维工艺的逆序建模方法及装置专利。</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9、工艺模板管理：具有工艺模板库，提供各种通用的标准卡片模板库，用户可将卡片进行组合并加以利用。支持工艺模板的自定义。模板定义支持单元格和表区的定义。单元格定义时支持域规则的定义，可以设置页数、页码、总页数、总页码，从而可以快速自动生成页码信息。域规则支持工序来源和工序去往的定义，支持指定单元格之间互斥规则的定义，支持数值范围定义，支持日期格式定义。单元格定义支持单元格重定位。非表区单元格支持必填项校验设置。</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10、工程知识管理：可建立工艺术语、工艺常用语、典型工艺、设备、工装等工艺知识和资源，在工艺设计时直接调用工艺知识和资源；允许用户自定义知识库；支持关联知识通过下拉的方式进行提示；支持知识的关联筛选，填写卡片时，系统会根据已填写列的内容筛选所需的知识库信息。</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11、工艺校验功能：支持根据设定好的校验条件，对当前工艺文档的标准化进行校验，对不合格项进行提醒。支持的校验条件包括：常规运算符比较（=,!=,&gt;=,&lt;=,&gt;,&lt;）、包含、不包含、头部字符等于、尾部字符等于、不为空、只有数字、无重复、内容长度范围和指定内容范围10种。</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12、打印：工艺图表支持单文件直接打印，打印时支持对指定卡片和指定页进行打印。打印工具支持单文件打印、多文件的排版打印及批量打印功能。</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13、图片的插入和编辑：通过插入图片方式插入多种位图图片，例如JPG、BMP格式。支持图片缩放、裁剪，支持图片亮度和对比度的调整。</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14、视频的插入：支持插入mp4格式的视频，并支持在工艺图表中进行视频播放。支持修改视频的显示图片。</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15、二维码生成：支持拾取指定单元格内容，并生成相应的二维码。</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16、有配套公开出版的高等职业教育教材供学校使用。</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17</w:t>
            </w:r>
            <w:r>
              <w:rPr>
                <w:rFonts w:asciiTheme="minorHAnsi" w:hAnsiTheme="minorHAnsi" w:eastAsiaTheme="minorEastAsia" w:cstheme="minorBidi"/>
                <w:sz w:val="21"/>
                <w:szCs w:val="22"/>
              </w:rPr>
              <w:t xml:space="preserve">、数量：50节点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（二）CAPP 工艺图表 工艺汇总表</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1、数据导入：从本地和服务器上导入CAD文件和工艺图表文件中的设计信息和工艺信息，形成面向产品结构的工艺信息汇总资料。</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2、汇总表格定制：提供强大的定制功能，用户可根据自己的需要定制、汇总表格的内容和要求，如按分厂、按产品汇总材料消耗，工时定额，外购件外协件明细，工装刀具明细。</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3、汇总表格输出：支持根据汇总出的各种表格，提供存储或者输出到Excel、WPS、XML、工艺图表形式。</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4</w:t>
            </w:r>
            <w:r>
              <w:rPr>
                <w:rFonts w:asciiTheme="minorHAnsi" w:hAnsiTheme="minorHAnsi" w:eastAsiaTheme="minorEastAsia" w:cstheme="minorBidi"/>
                <w:sz w:val="21"/>
                <w:szCs w:val="22"/>
              </w:rPr>
              <w:t xml:space="preserve">、数量：50节点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（三）教学资源开发</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1、根据学校教学需求进行开发的数字化教学资源包。</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2、开发项目式案例，包括至少三个项目案例，覆盖数控车加工、数控铣加工和装配工艺。</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3、项目案例要匹配相应的素材，包括但不限于图纸、工艺文件、配图等，方便学校开展教学工作。</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4、</w:t>
            </w:r>
            <w:r>
              <w:rPr>
                <w:rFonts w:asciiTheme="minorHAnsi" w:hAnsiTheme="minorHAnsi" w:eastAsiaTheme="minorEastAsia" w:cstheme="minorBidi"/>
                <w:sz w:val="21"/>
                <w:szCs w:val="22"/>
              </w:rPr>
              <w:t xml:space="preserve">数量：1项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二、数字化管理平台/PLM</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（一）PLM 协同管理 工艺数据管理</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1、多语言支持：安装盘包括简体中文、繁体中文、英文三个版本。用户可以在安装软件时进行选择，所有客户端与服务端需要选择一致的语言。</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2、电子仓库：服务器上分配的一块存储空间，用来对所有图纸和文档进行集中存放和管理。支持对多个电子仓库的设置，用户根据自己服务端所在设备的情况设定一个或多个实际的物理地址来存放文档。</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安全管理：包括用户管理和数据加密。用户管理包括人员管理、角色管理、产品相关用户管理，其中权限设置可以控制到零部件级；数据加密包括电子仓库中文件格式的加密、工作目录的隐藏、电子图板CAD内文件输出控制、数据库中口令字段信息的加密等。</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4、文档管理：包含对图纸和文档的管理。图纸指的是CAD系统产生的二维图纸等各种电子图形文件，文档可以是各种类电子文件，管理的文件格式没有限制。系统提供共享的文档树对文档进行分类管理。</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5、数据查询：在数据集中管理的基础上，实现对设计数据和信息的查找。输入查询条件，服务器把所有符合条件的结果返回给客户端。对于查询结果可以直接利用，在查询结果上进行数据借用、编辑等操作。</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6、版本管理：版本管理与文档的生命周期相关联，生命周期包含有新建、入库、出库、取消出库、发布、重发布、归档等状态，对应的文档有版本和工作版本之分。系统支持版本回滚和清除。</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7、产品结构：系统以结构树的方式组织零部件，图纸和文档以零部件为中心进行组织。</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8、BOM管理：以产品结构树展示零部件结构，BOM结构可按层次展开，可以方便查看节点属性、节点下级列表、零部件图文档列表。在部件列表中，可以展示下级零件的树型列表。支持通过添加下级件、移除结构节点编辑节点属性、复制、粘贴、剪切零部件的方式对产品结构进行编辑，支持批量编辑BOM属性。系统支持直接提取CAD中标题栏与明细栏的产品结构信息，导入系统批量构建产品BOM。系统支持提取符合规范的Excel表格数据构建产品BOM。</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9、数据重用：为提高新产品的设计效率，对现有数据的应用，主要包括两方面的内容，一是借用现有零部件和图纸；二是复制现有零部件和图纸，在原有图纸的基础上进行修改。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10、报表统计：提供报表类型有：产品明细表、部件明细表、自制件明细表、外购件明细表、标准件明细表以及分类报表等。</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11、数据备份：自动数据备份，提供增量备份和整体备份，并可以将数据保存在不同的介质上，保证数据的安全。</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12、工艺图表文件批量入库（支持工具）：对于工艺图表编写的工艺文件，支持将已有的大量工艺图表文件，通过批量的方式提取到产品结构树的对应节点上，并把相应的文件导入到电子仓库中。</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13、DWG、CXP文档拼图打印（支持工具）：对批量的图纸\工艺数据打印，提供拼图打印的功能，系统自动将文件拼图后打印，适用于绘图仪使用。</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14、日志跟踪与管理（支持工具）：在服务器上，针对系统中所有人员的操作，进行记录并生成相应文件，便于对操作内容、时间进行追踪管理。</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w:t>
            </w:r>
            <w:r>
              <w:rPr>
                <w:rFonts w:hint="eastAsia" w:asciiTheme="minorHAnsi" w:hAnsiTheme="minorHAnsi" w:eastAsiaTheme="minorEastAsia" w:cstheme="minorBidi"/>
                <w:sz w:val="21"/>
                <w:szCs w:val="22"/>
              </w:rPr>
              <w:t xml:space="preserve">5</w:t>
            </w:r>
            <w:r>
              <w:rPr>
                <w:rFonts w:asciiTheme="minorHAnsi" w:hAnsiTheme="minorHAnsi" w:eastAsiaTheme="minorEastAsia" w:cstheme="minorBidi"/>
                <w:sz w:val="21"/>
                <w:szCs w:val="22"/>
              </w:rPr>
              <w:t xml:space="preserve">、支持卡片工艺和结构化工艺混合的工艺设计模式。</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w:t>
            </w:r>
            <w:r>
              <w:rPr>
                <w:rFonts w:hint="eastAsia" w:asciiTheme="minorHAnsi" w:hAnsiTheme="minorHAnsi" w:eastAsiaTheme="minorEastAsia" w:cstheme="minorBidi"/>
                <w:sz w:val="21"/>
                <w:szCs w:val="22"/>
              </w:rPr>
              <w:t xml:space="preserve">6</w:t>
            </w:r>
            <w:r>
              <w:rPr>
                <w:rFonts w:asciiTheme="minorHAnsi" w:hAnsiTheme="minorHAnsi" w:eastAsiaTheme="minorEastAsia" w:cstheme="minorBidi"/>
                <w:sz w:val="21"/>
                <w:szCs w:val="22"/>
              </w:rPr>
              <w:t xml:space="preserve">、支持工艺数据的结构化管理，工艺、工序、工步、资源等结构化工艺要素的属性根据管理要求进行自定义。</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w:t>
            </w:r>
            <w:r>
              <w:rPr>
                <w:rFonts w:hint="eastAsia" w:asciiTheme="minorHAnsi" w:hAnsiTheme="minorHAnsi" w:eastAsiaTheme="minorEastAsia" w:cstheme="minorBidi"/>
                <w:sz w:val="21"/>
                <w:szCs w:val="22"/>
              </w:rPr>
              <w:t xml:space="preserve">7</w:t>
            </w:r>
            <w:r>
              <w:rPr>
                <w:rFonts w:asciiTheme="minorHAnsi" w:hAnsiTheme="minorHAnsi" w:eastAsiaTheme="minorEastAsia" w:cstheme="minorBidi"/>
                <w:sz w:val="21"/>
                <w:szCs w:val="22"/>
              </w:rPr>
              <w:t xml:space="preserve">、支持结构化工艺数据查询功能，支持工艺零部件、图纸、工艺文档、其他文档、工艺路线、工艺、工序、工步、工装等的查询。支持以对象属性为查询条件进行检索。查询结果支持定位。</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w:t>
            </w:r>
            <w:r>
              <w:rPr>
                <w:rFonts w:hint="eastAsia" w:asciiTheme="minorHAnsi" w:hAnsiTheme="minorHAnsi" w:eastAsiaTheme="minorEastAsia" w:cstheme="minorBidi"/>
                <w:sz w:val="21"/>
                <w:szCs w:val="22"/>
              </w:rPr>
              <w:t xml:space="preserve">8</w:t>
            </w:r>
            <w:r>
              <w:rPr>
                <w:rFonts w:asciiTheme="minorHAnsi" w:hAnsiTheme="minorHAnsi" w:eastAsiaTheme="minorEastAsia" w:cstheme="minorBidi"/>
                <w:sz w:val="21"/>
                <w:szCs w:val="22"/>
              </w:rPr>
              <w:t xml:space="preserve">、工艺图表集成:在工艺图表界面中提供集成界面,通过集成,可以实现用户重登陆、产品选择、模板文件更新、设置过滤条件、设置排序规则，支持工艺出入库、发布、重发布、归档操作。针对有无工艺的零部件及工艺是否发布的零部件，系统支持以不同的颜色进行显示。</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19</w:t>
            </w:r>
            <w:r>
              <w:rPr>
                <w:rFonts w:asciiTheme="minorHAnsi" w:hAnsiTheme="minorHAnsi" w:eastAsiaTheme="minorEastAsia" w:cstheme="minorBidi"/>
                <w:sz w:val="21"/>
                <w:szCs w:val="22"/>
              </w:rPr>
              <w:t xml:space="preserve">、工艺推荐：在进行具体工艺设计时，系统根据配置的查询条件，快速查找并自动推荐相似工艺。</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0</w:t>
            </w:r>
            <w:r>
              <w:rPr>
                <w:rFonts w:asciiTheme="minorHAnsi" w:hAnsiTheme="minorHAnsi" w:eastAsiaTheme="minorEastAsia" w:cstheme="minorBidi"/>
                <w:sz w:val="21"/>
                <w:szCs w:val="22"/>
              </w:rPr>
              <w:t xml:space="preserve">、支持工艺、工序、工步、工装、设备等资源的结构化工艺设计与管理。工艺人员通过结构化工艺设计管理平台，创建结构化的工艺结构，工艺结构可根据管理精细程度的需要，进行结构的细化。</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1</w:t>
            </w:r>
            <w:r>
              <w:rPr>
                <w:rFonts w:asciiTheme="minorHAnsi" w:hAnsiTheme="minorHAnsi" w:eastAsiaTheme="minorEastAsia" w:cstheme="minorBidi"/>
                <w:sz w:val="21"/>
                <w:szCs w:val="22"/>
              </w:rPr>
              <w:t xml:space="preserve">、支持单个零件的结构化工艺的编制。</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2</w:t>
            </w:r>
            <w:r>
              <w:rPr>
                <w:rFonts w:asciiTheme="minorHAnsi" w:hAnsiTheme="minorHAnsi" w:eastAsiaTheme="minorEastAsia" w:cstheme="minorBidi"/>
                <w:sz w:val="21"/>
                <w:szCs w:val="22"/>
              </w:rPr>
              <w:t xml:space="preserve">、支持在一个界面进行多个零件的结构化工艺的批量编辑。</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3</w:t>
            </w:r>
            <w:r>
              <w:rPr>
                <w:rFonts w:asciiTheme="minorHAnsi" w:hAnsiTheme="minorHAnsi" w:eastAsiaTheme="minorEastAsia" w:cstheme="minorBidi"/>
                <w:sz w:val="21"/>
                <w:szCs w:val="22"/>
              </w:rPr>
              <w:t xml:space="preserve">、支持自动生成工序号。</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4</w:t>
            </w:r>
            <w:r>
              <w:rPr>
                <w:rFonts w:asciiTheme="minorHAnsi" w:hAnsiTheme="minorHAnsi" w:eastAsiaTheme="minorEastAsia" w:cstheme="minorBidi"/>
                <w:sz w:val="21"/>
                <w:szCs w:val="22"/>
              </w:rPr>
              <w:t xml:space="preserve">、支持通过工艺知识库选择工艺知识进行填写。系统支持关联设备、工装、材料、工艺常用语、工序等资源，在工艺设计过程中，工艺人员可以方便、快捷地查询和使用设备、工装、材料、工艺常用语、工序等资源。</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5</w:t>
            </w:r>
            <w:r>
              <w:rPr>
                <w:rFonts w:asciiTheme="minorHAnsi" w:hAnsiTheme="minorHAnsi" w:eastAsiaTheme="minorEastAsia" w:cstheme="minorBidi"/>
                <w:sz w:val="21"/>
                <w:szCs w:val="22"/>
              </w:rPr>
              <w:t xml:space="preserve">、结构化工艺编制时，支持粗糙度、形位公差、上下标、分数、焊接符号等工程符号的插入；结构化工艺编制时，工序对象支持导入工序文档和附件；结构化工艺编制时，同一份工艺中，支持多类型工艺的混合编制。</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6</w:t>
            </w:r>
            <w:r>
              <w:rPr>
                <w:rFonts w:asciiTheme="minorHAnsi" w:hAnsiTheme="minorHAnsi" w:eastAsiaTheme="minorEastAsia" w:cstheme="minorBidi"/>
                <w:sz w:val="21"/>
                <w:szCs w:val="22"/>
              </w:rPr>
              <w:t xml:space="preserve">、支持结构化编制的工艺数据根据模板生成工艺卡片。</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7</w:t>
            </w:r>
            <w:r>
              <w:rPr>
                <w:rFonts w:asciiTheme="minorHAnsi" w:hAnsiTheme="minorHAnsi" w:eastAsiaTheme="minorEastAsia" w:cstheme="minorBidi"/>
                <w:sz w:val="21"/>
                <w:szCs w:val="22"/>
              </w:rPr>
              <w:t xml:space="preserve">、支持将工装的零部件、图纸、3D模型、工艺文档、技术资料等通过结构树的形式进行统一管理。</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w:t>
            </w:r>
            <w:r>
              <w:rPr>
                <w:rFonts w:hint="eastAsia" w:asciiTheme="minorHAnsi" w:hAnsiTheme="minorHAnsi" w:eastAsiaTheme="minorEastAsia" w:cstheme="minorBidi"/>
                <w:sz w:val="21"/>
                <w:szCs w:val="22"/>
              </w:rPr>
              <w:t xml:space="preserve">8</w:t>
            </w:r>
            <w:r>
              <w:rPr>
                <w:rFonts w:asciiTheme="minorHAnsi" w:hAnsiTheme="minorHAnsi" w:eastAsiaTheme="minorEastAsia" w:cstheme="minorBidi"/>
                <w:sz w:val="21"/>
                <w:szCs w:val="22"/>
              </w:rPr>
              <w:t xml:space="preserve">、可以根据工艺业务需要定义工艺文件的电子审批流程。</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29</w:t>
            </w:r>
            <w:r>
              <w:rPr>
                <w:rFonts w:asciiTheme="minorHAnsi" w:hAnsiTheme="minorHAnsi" w:eastAsiaTheme="minorEastAsia" w:cstheme="minorBidi"/>
                <w:sz w:val="21"/>
                <w:szCs w:val="22"/>
              </w:rPr>
              <w:t xml:space="preserve">、工艺文档审批过程中，支持文档的可视化查看和批注。</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w:t>
            </w:r>
            <w:r>
              <w:rPr>
                <w:rFonts w:hint="eastAsia" w:asciiTheme="minorHAnsi" w:hAnsiTheme="minorHAnsi" w:eastAsiaTheme="minorEastAsia" w:cstheme="minorBidi"/>
                <w:sz w:val="21"/>
                <w:szCs w:val="22"/>
              </w:rPr>
              <w:t xml:space="preserve">0</w:t>
            </w:r>
            <w:r>
              <w:rPr>
                <w:rFonts w:asciiTheme="minorHAnsi" w:hAnsiTheme="minorHAnsi" w:eastAsiaTheme="minorEastAsia" w:cstheme="minorBidi"/>
                <w:sz w:val="21"/>
                <w:szCs w:val="22"/>
              </w:rPr>
              <w:t xml:space="preserve">、支持定义不同级别的工艺签审流程， 实现工艺文件的电子签审、发布及变更。</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w:t>
            </w:r>
            <w:r>
              <w:rPr>
                <w:rFonts w:hint="eastAsia" w:asciiTheme="minorHAnsi" w:hAnsiTheme="minorHAnsi" w:eastAsiaTheme="minorEastAsia" w:cstheme="minorBidi"/>
                <w:sz w:val="21"/>
                <w:szCs w:val="22"/>
              </w:rPr>
              <w:t xml:space="preserve">1</w:t>
            </w:r>
            <w:r>
              <w:rPr>
                <w:rFonts w:asciiTheme="minorHAnsi" w:hAnsiTheme="minorHAnsi" w:eastAsiaTheme="minorEastAsia" w:cstheme="minorBidi"/>
                <w:sz w:val="21"/>
                <w:szCs w:val="22"/>
              </w:rPr>
              <w:t xml:space="preserve">、工艺文件变更时，支持工序版本的单独变更，支持对单张工序卡片的变更签名。</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3</w:t>
            </w:r>
            <w:r>
              <w:rPr>
                <w:rFonts w:hint="eastAsia" w:asciiTheme="minorHAnsi" w:hAnsiTheme="minorHAnsi" w:eastAsiaTheme="minorEastAsia" w:cstheme="minorBidi"/>
                <w:sz w:val="21"/>
                <w:szCs w:val="22"/>
              </w:rPr>
              <w:t xml:space="preserve">2</w:t>
            </w:r>
            <w:r>
              <w:rPr>
                <w:rFonts w:asciiTheme="minorHAnsi" w:hAnsiTheme="minorHAnsi" w:eastAsiaTheme="minorEastAsia" w:cstheme="minorBidi"/>
                <w:sz w:val="21"/>
                <w:szCs w:val="22"/>
              </w:rPr>
              <w:t xml:space="preserve">、有配套公开出版的高等职业教育教材供学校使用。</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w:t>
            </w:r>
            <w:r>
              <w:rPr>
                <w:rFonts w:hint="eastAsia" w:asciiTheme="minorHAnsi" w:hAnsiTheme="minorHAnsi" w:eastAsiaTheme="minorEastAsia" w:cstheme="minorBidi"/>
                <w:sz w:val="21"/>
                <w:szCs w:val="22"/>
              </w:rPr>
              <w:t xml:space="preserve">3</w:t>
            </w:r>
            <w:r>
              <w:rPr>
                <w:rFonts w:asciiTheme="minorHAnsi" w:hAnsiTheme="minorHAnsi" w:eastAsiaTheme="minorEastAsia" w:cstheme="minorBidi"/>
                <w:sz w:val="21"/>
                <w:szCs w:val="22"/>
              </w:rPr>
              <w:t xml:space="preserve">、数量：25节点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（二）PLM 协同管理 工程知识库管理</w:t>
            </w:r>
            <w:r>
              <w:rPr>
                <w:rFonts w:asciiTheme="minorHAnsi" w:hAnsiTheme="minorHAnsi" w:eastAsiaTheme="minorEastAsia" w:cstheme="minorBidi"/>
                <w:sz w:val="21"/>
                <w:szCs w:val="22"/>
              </w:rPr>
              <w:br/>
            </w:r>
            <w:r>
              <w:rPr>
                <w:rFonts w:hint="eastAsia" w:ascii="宋体" w:hAnsi="宋体"/>
                <w:sz w:val="21"/>
              </w:rPr>
              <w:t xml:space="preserve">▲</w:t>
            </w:r>
            <w:r>
              <w:rPr>
                <w:rFonts w:asciiTheme="minorHAnsi" w:hAnsiTheme="minorHAnsi" w:eastAsiaTheme="minorEastAsia" w:cstheme="minorBidi"/>
                <w:sz w:val="21"/>
                <w:szCs w:val="22"/>
              </w:rPr>
              <w:t xml:space="preserve">1、可建立工艺术语、典型工艺、设备、工装的工艺知识和资源，在工艺设计时直接调用工艺知识和资源；允许用户扩充知识库。</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2、支持知识库在内部的共享。</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3、支持基于知识分类的权限管理，支持不同的角色分别管理不同的知识分类；</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4、知识库实例支持显示顺序的调整，支持插入行功能。</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5、知识库实例支持从EXCEL导入功能。</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6</w:t>
            </w:r>
            <w:r>
              <w:rPr>
                <w:rFonts w:asciiTheme="minorHAnsi" w:hAnsiTheme="minorHAnsi" w:eastAsiaTheme="minorEastAsia" w:cstheme="minorBidi"/>
                <w:sz w:val="21"/>
                <w:szCs w:val="22"/>
              </w:rPr>
              <w:t xml:space="preserve">、数量：1模块</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（三）PLM 协同管理 工作流</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工作流定义工具：支持图纸审批、更改等流程模板的定义。支持串行流程、并行流程、子流程、抄送节点、应用节点设置。支持流程节点角色设置；支持流程执行中的模板变更、动态人员指定；支持流程节点跳跃；支持流程节点的人员代理；支持流程流出条件控制；支持流程循环设置。支持流程节点的流入事件、流出事件、任务提交事件、任务撤销事件的脚本编制。</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工作流引擎：主要负责将任务按照模板定义的路线进行发送。在流程启动时，负责加载并解析流程模板定义，创建开始任务并自动发送该任务给初始的参与者；参与者在收到任务、完成任务并提交任务给引擎时，引擎根据流程模板定义的规则将这些任务向后续节点发送；工作流引擎还不断监视超期任务和对即将到期的任务进行发送通知提醒的作用；在运行期间触发相关事件并根据流程模板定义的事件类型执行相关的外部程序。</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工作流监控：主要用于监视正在运行的各个流程的状态，以及查看已经完成、终止的流程的所有任务情况，流程管理者可以随时暂停、恢复、终止流程。另外，对于已经死锁的流程，管理者可以变更流程的定义，使得流程能够继续运行。</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4、任务箱：主要用于收发、管理来自于工作流的任务。</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5、消息提醒：主要用于监视当前用户是否有新的工作流任务，如果有新的任务它将提醒用户并可以启动任务箱。</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6、动态授权：支持动态权限管理，实现处理任务时增加临时授权，任务处理完成收回权限。</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7、批量审批：支持对一套产品图纸的集中审阅。</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8</w:t>
            </w:r>
            <w:r>
              <w:rPr>
                <w:rFonts w:asciiTheme="minorHAnsi" w:hAnsiTheme="minorHAnsi" w:eastAsiaTheme="minorEastAsia" w:cstheme="minorBidi"/>
                <w:sz w:val="21"/>
                <w:szCs w:val="22"/>
              </w:rPr>
              <w:t xml:space="preserve">、数量：8节点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（四）PLM 协同管理 汇总报表</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1、支持用户自定义报表，报表格式由用户自己定制。</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2、在协同管理的各个模块支持对汇总报表的调用。</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3、支持主表和附表格式不同</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4、报表输出格式为Excel格式和工艺图表格式。</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5</w:t>
            </w:r>
            <w:r>
              <w:rPr>
                <w:rFonts w:asciiTheme="minorHAnsi" w:hAnsiTheme="minorHAnsi" w:eastAsiaTheme="minorEastAsia" w:cstheme="minorBidi"/>
                <w:sz w:val="21"/>
                <w:szCs w:val="22"/>
              </w:rPr>
              <w:t xml:space="preserve">、数量：8节点</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套</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2</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服务器</w:t>
            </w:r>
            <w:r/>
          </w:p>
        </w:tc>
        <w:tc>
          <w:tcPr>
            <w:tcW w:w="8338" w:type="dxa"/>
            <w:vAlign w:val="center"/>
            <w:textDirection w:val="lrTb"/>
            <w:noWrap w:val="false"/>
          </w:tcPr>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1、处理器（CPU）</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CPU型</w:t>
            </w:r>
            <w:r>
              <w:rPr>
                <w:rFonts w:hint="eastAsia" w:asciiTheme="minorHAnsi" w:hAnsiTheme="minorHAnsi" w:eastAsiaTheme="minorEastAsia" w:cstheme="minorBidi"/>
                <w:sz w:val="21"/>
                <w:szCs w:val="22"/>
                <w:highlight w:val="none"/>
              </w:rPr>
              <w:t xml:space="preserve">号：国产C86架构处理器</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物理核心数：≥16核</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主频：≥2.5 GHz</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末级缓存容量：三级缓存≥64MB</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线程数：≥32线程</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热设计功耗及支持：155W～200W</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内存的最高速率：≥2933MHz</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通道数和位宽：支持8通道内存及64-bit</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2、主板规格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支持 CPU：2路SP3 Socket</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支持内存：DDR4 REG ECC</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内存槽数量：可扩展插槽数量 ≥4 个</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存储接口：至少支持 SATA 、SAS 、M.2 、U.2 等 存储接口中的1种</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PCIe 插槽接口：符合PCIe3.0 或以上的高速串行计算机扩展总线标准 ，PCIe 的接口速率与位宽需保证向下兼容</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PCIe 插槽数量及规格：高度大于 44.45mm 双路或以上服务器 PCIe 插槽或接口应不少于5个；单路服务器 PCIe 插槽或接口应不少于 4 个 ，可通过扩展卡进行插槽扩展</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3、内存规格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内存数量：≥4</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内存规格：≥DDR4</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内存通道：支持多个内存接口通道 ，每个通道可支持 1DPC或2DPC，当支持2DPC 时，印制电路板上应具备插槽的序号标识 </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4、存储规格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硬磁盘实配容量：≥2T</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硬盘实配数量：≥2块</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硬盘插槽数量及规格：扩展可支持12块3.5英寸或2.5英寸的硬盘</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5、网络规格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网口速率和数量：配备网口数量不少于1个，且网口速率不少于1GE</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6、外部接口规格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显示接口：显示接口类型应不少于1 种 ，如：VGA、DP、HDMI等</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USB接口：配备USB接口，如USB2.0、USB3.0等</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7、电源规格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电源模块数量：≥1</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电源功率：电源模块功率应有一定冗余 ，满足处理器满载时的需求</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8、整机规格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尺寸（高×宽×深）：≥447x720x87mm</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环境适应性：气候环境适应性应符合GB/T9813.3的有关规定噪声在空闲状态下不大于50dB</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9、主板功能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主办外部接口种类：支持 USB、显示、管理等接口，如：VGA、DP、HDMI、USB3.0、PS/2 接口、 BMC管理端口</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10、网络功能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网络功能：支持网络连接、网络访问数据交换和网络管控功能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11、CPU功能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计算处理：支持通用计算及虚拟化功能。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12、电源功能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电源热插拔：整机电源模块应具备热插拔功能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电源过流保护：支持过流及短路保护的功能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13、整机功能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散热方式：支持风冷或液冷等散热方式</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rPr>
                <w:rFonts w:asciiTheme="minorHAnsi" w:hAnsiTheme="minorHAnsi" w:eastAsiaTheme="minorEastAsia" w:cstheme="minorBidi"/>
                <w:sz w:val="21"/>
                <w:szCs w:val="22"/>
              </w:rPr>
              <w:t xml:space="preserve">4</w:t>
            </w:r>
            <w:r>
              <w:rPr>
                <w:rFonts w:hint="eastAsia" w:asciiTheme="minorHAnsi" w:hAnsiTheme="minorHAnsi" w:eastAsiaTheme="minorEastAsia" w:cstheme="minorBidi"/>
                <w:sz w:val="21"/>
                <w:szCs w:val="22"/>
              </w:rPr>
              <w:t xml:space="preserve">、操作系统及驱动功能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操作系统及驱动的升级：支持通过网络、闪存盘对操作系统、驱动进行升级</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操作系统功能：a) 支持访问控制、安全审计、网络接入鉴别等功能；b) 操作系统其他功能应满足操作系统政府采购需求标准中加*的指标要求</w:t>
            </w:r>
            <w:r/>
          </w:p>
          <w:p>
            <w:pPr>
              <w:ind w:left="0"/>
              <w:widowControl w:val="off"/>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15</w:t>
            </w:r>
            <w:r>
              <w:rPr>
                <w:rFonts w:hint="eastAsia" w:asciiTheme="minorHAnsi" w:hAnsiTheme="minorHAnsi" w:eastAsiaTheme="minorEastAsia" w:cstheme="minorBidi"/>
                <w:sz w:val="21"/>
                <w:szCs w:val="22"/>
              </w:rPr>
              <w:t xml:space="preserve">、中文信息处理功能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中文信息处理：符合GB18030的有关规定</w:t>
            </w:r>
            <w:r/>
          </w:p>
          <w:p>
            <w:pPr>
              <w:ind w:left="0"/>
              <w:widowControl w:val="off"/>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16</w:t>
            </w:r>
            <w:r>
              <w:rPr>
                <w:rFonts w:hint="eastAsia" w:asciiTheme="minorHAnsi" w:hAnsiTheme="minorHAnsi" w:eastAsiaTheme="minorEastAsia" w:cstheme="minorBidi"/>
                <w:sz w:val="21"/>
                <w:szCs w:val="22"/>
              </w:rPr>
              <w:t xml:space="preserve">、物理安全</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物理安全：安全要求应符合GB4943.1的规定</w:t>
            </w:r>
            <w:r/>
          </w:p>
          <w:p>
            <w:pPr>
              <w:ind w:left="0"/>
              <w:widowControl w:val="off"/>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17</w:t>
            </w:r>
            <w:r>
              <w:rPr>
                <w:rFonts w:hint="eastAsia" w:asciiTheme="minorHAnsi" w:hAnsiTheme="minorHAnsi" w:eastAsiaTheme="minorEastAsia" w:cstheme="minorBidi"/>
                <w:sz w:val="21"/>
                <w:szCs w:val="22"/>
              </w:rPr>
              <w:t xml:space="preserve">、限用物质的限量要求</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限用物质的限量要求：限用物质的限量应符合GB/T 26572的要求</w:t>
            </w:r>
            <w:r/>
          </w:p>
          <w:p>
            <w:pPr>
              <w:ind w:left="0"/>
              <w:widowControl w:val="off"/>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18</w:t>
            </w:r>
            <w:r>
              <w:rPr>
                <w:rFonts w:hint="eastAsia" w:asciiTheme="minorHAnsi" w:hAnsiTheme="minorHAnsi" w:eastAsiaTheme="minorEastAsia" w:cstheme="minorBidi"/>
                <w:sz w:val="21"/>
                <w:szCs w:val="22"/>
              </w:rPr>
              <w:t xml:space="preserve">、CPU性能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CPU主频：≥1.8GHz</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单CPU 核数：≥4</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单CPU 末级缓存容量≥8MB</w:t>
            </w:r>
            <w:r/>
          </w:p>
          <w:p>
            <w:pPr>
              <w:ind w:left="0"/>
              <w:widowControl w:val="off"/>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19</w:t>
            </w:r>
            <w:r>
              <w:rPr>
                <w:rFonts w:hint="eastAsia" w:asciiTheme="minorHAnsi" w:hAnsiTheme="minorHAnsi" w:eastAsiaTheme="minorEastAsia" w:cstheme="minorBidi"/>
                <w:sz w:val="21"/>
                <w:szCs w:val="22"/>
              </w:rPr>
              <w:t xml:space="preserve">、内存性能</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内存速率：≥2666MT/s</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2</w:t>
            </w:r>
            <w:r>
              <w:rPr>
                <w:rFonts w:asciiTheme="minorHAnsi" w:hAnsiTheme="minorHAnsi" w:eastAsiaTheme="minorEastAsia" w:cstheme="minorBidi"/>
                <w:sz w:val="21"/>
                <w:szCs w:val="22"/>
              </w:rPr>
              <w:t xml:space="preserve">0</w:t>
            </w:r>
            <w:r>
              <w:rPr>
                <w:rFonts w:hint="eastAsia" w:asciiTheme="minorHAnsi" w:hAnsiTheme="minorHAnsi" w:eastAsiaTheme="minorEastAsia" w:cstheme="minorBidi"/>
                <w:sz w:val="21"/>
                <w:szCs w:val="22"/>
              </w:rPr>
              <w:t xml:space="preserve">、部件兼容性要求</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内存兼容性：适配3种及以上厂商的内存产品，且均不低于产品支持的内存规格</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固态存储兼容性：适配3种或以上厂商的固态存储产品，且均不低于产品支持的27、固态</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2</w:t>
            </w:r>
            <w:r>
              <w:rPr>
                <w:rFonts w:asciiTheme="minorHAnsi" w:hAnsiTheme="minorHAnsi" w:eastAsiaTheme="minorEastAsia" w:cstheme="minorBidi"/>
                <w:sz w:val="21"/>
                <w:szCs w:val="22"/>
              </w:rPr>
              <w:t xml:space="preserve">1</w:t>
            </w:r>
            <w:r>
              <w:rPr>
                <w:rFonts w:hint="eastAsia" w:asciiTheme="minorHAnsi" w:hAnsiTheme="minorHAnsi" w:eastAsiaTheme="minorEastAsia" w:cstheme="minorBidi"/>
                <w:sz w:val="21"/>
                <w:szCs w:val="22"/>
              </w:rPr>
              <w:t xml:space="preserve">、外设兼容性</w:t>
            </w:r>
            <w:r/>
          </w:p>
          <w:p>
            <w:pPr>
              <w:ind w:left="0"/>
              <w:widowControl w:val="off"/>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外设兼容性：兼容多种主流生产商的外部设备，包括显示器、键盘、鼠标、闪存盘、移动硬盘、USB光驱及KVM 等，要求使用不同厂商的外部设备时 ，系统均能正常识别和安装驱动</w:t>
            </w:r>
            <w:r/>
          </w:p>
          <w:p>
            <w:pPr>
              <w:ind w:left="0"/>
              <w:widowControl w:val="off"/>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22</w:t>
            </w:r>
            <w:r>
              <w:rPr>
                <w:rFonts w:hint="eastAsia" w:asciiTheme="minorHAnsi" w:hAnsiTheme="minorHAnsi" w:eastAsiaTheme="minorEastAsia" w:cstheme="minorBidi"/>
                <w:sz w:val="21"/>
                <w:szCs w:val="22"/>
              </w:rPr>
              <w:t xml:space="preserve">、服务周期</w:t>
            </w:r>
            <w:r/>
          </w:p>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服务周期：a)产品免费服务周期（含换件和维修）应不小于3 年</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台</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3</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区域看板</w:t>
            </w:r>
            <w:r/>
          </w:p>
        </w:tc>
        <w:tc>
          <w:tcPr>
            <w:tcW w:w="8338" w:type="dxa"/>
            <w:vAlign w:val="center"/>
            <w:textDirection w:val="lrTb"/>
            <w:noWrap w:val="false"/>
          </w:tcPr>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1、网络配置:千兆网口+双频WiFi+内置音响+内置蓝牙</w:t>
            </w:r>
            <w:r/>
          </w:p>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2、显示屏类型：单屏LED</w:t>
            </w:r>
            <w:r/>
          </w:p>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3、屏幕尺寸:依据场地定制/4、屏幕分辨率：1920*1080</w:t>
            </w:r>
            <w:r/>
          </w:p>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4</w:t>
            </w:r>
            <w:r>
              <w:rPr>
                <w:rFonts w:asciiTheme="minorHAnsi" w:hAnsiTheme="minorHAnsi" w:eastAsiaTheme="minorEastAsia" w:cstheme="minorBidi"/>
                <w:sz w:val="21"/>
                <w:szCs w:val="22"/>
              </w:rPr>
              <w:t xml:space="preserve">、是否触摸屏：是</w:t>
            </w:r>
            <w:r/>
          </w:p>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5</w:t>
            </w:r>
            <w:r>
              <w:rPr>
                <w:rFonts w:asciiTheme="minorHAnsi" w:hAnsiTheme="minorHAnsi" w:eastAsiaTheme="minorEastAsia" w:cstheme="minorBidi"/>
                <w:sz w:val="21"/>
                <w:szCs w:val="22"/>
              </w:rPr>
              <w:t xml:space="preserve">、输入方式：手指触控</w:t>
            </w:r>
            <w:r/>
          </w:p>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6</w:t>
            </w:r>
            <w:r>
              <w:rPr>
                <w:rFonts w:asciiTheme="minorHAnsi" w:hAnsiTheme="minorHAnsi" w:eastAsiaTheme="minorEastAsia" w:cstheme="minorBidi"/>
                <w:sz w:val="21"/>
                <w:szCs w:val="22"/>
              </w:rPr>
              <w:t xml:space="preserve">、安装方式：壁挂安装</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6</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个</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4</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可视化设备</w:t>
            </w:r>
            <w:r/>
          </w:p>
        </w:tc>
        <w:tc>
          <w:tcPr>
            <w:tcW w:w="8338" w:type="dxa"/>
            <w:vAlign w:val="center"/>
            <w:textDirection w:val="lrTb"/>
            <w:noWrap w:val="false"/>
          </w:tcPr>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1、显示：贴合方式为零贴，屏幕色域≥72%NTSC，支持DC调光，支持硬件低蓝光。</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2、触控：触控点数PC 40点。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3、扩音：2.2声道（顶置发声、空中声道）。</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4、物联和无线：蓝牙5.4，WiFi6，支持超声波配对。</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5、端口：支持USB3.0和Type C</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套</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5</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数据交换机</w:t>
            </w:r>
            <w:r/>
          </w:p>
        </w:tc>
        <w:tc>
          <w:tcPr>
            <w:tcW w:w="8338" w:type="dxa"/>
            <w:vAlign w:val="center"/>
            <w:textDirection w:val="lrTb"/>
            <w:noWrap w:val="false"/>
          </w:tcPr>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1、千兆以太网交换机。</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2、端口结构：非模块化。</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3、端口描述：48个10/100/1000/BASE-T以太网端口，4个千兆SFP。</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4、传输速率：10/100/1000BASE-T Mbps。</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5、堆叠功能：可堆叠。</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6、VLAN：支持。</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7、QOS：支持流量监管、支持入端口流暈限速、支持端口队列调度、支持拥塞避免、支持出端口流量整形、支持高级IPv4V6 ACL。</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8、组播管理 ：支持 IGMP V1V2/V3 Snooping、支持MLDV1/V2 Snooping</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9、网络管理：支持4K VLAN、支持 Access/ Trunk/ Hybrid/</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QinQ接入方式、支持基于端口划分VLAN、支持MAC地址自动学习、支持MAC地址自动老化、支持静态MAC表项纠错。</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10、安全管理：支持端口安全;支持广播、组播、未知单播风暴控制;支持端口隔离。</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11、环境标准：工作温度：0+50，储存温度：-40+70，工作湿度：-5％-95％。</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12、其它参数：业务口防雷±10kV；电源口防雷差模±6kV，共模±6kV；散热方式为风冷散热,智能调速,1个风扇。</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2</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台</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6</w:t>
            </w:r>
            <w:r/>
          </w:p>
        </w:tc>
        <w:tc>
          <w:tcPr>
            <w:tcW w:w="851" w:type="dxa"/>
            <w:vAlign w:val="center"/>
            <w:textDirection w:val="lrTb"/>
            <w:noWrap w:val="false"/>
          </w:tcPr>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网络机柜</w:t>
            </w:r>
            <w:r/>
          </w:p>
        </w:tc>
        <w:tc>
          <w:tcPr>
            <w:tcW w:w="8338" w:type="dxa"/>
            <w:vAlign w:val="center"/>
            <w:textDirection w:val="lrTb"/>
            <w:noWrap w:val="false"/>
          </w:tcPr>
          <w:p>
            <w:pPr>
              <w:ind w:left="0"/>
              <w:widowControl w:val="off"/>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1</w:t>
            </w:r>
            <w:r>
              <w:rPr>
                <w:rFonts w:asciiTheme="minorHAnsi" w:hAnsiTheme="minorHAnsi" w:eastAsiaTheme="minorEastAsia" w:cstheme="minorBidi"/>
                <w:sz w:val="21"/>
                <w:szCs w:val="22"/>
                <w:highlight w:val="none"/>
              </w:rPr>
              <w:t xml:space="preserve">. </w:t>
            </w:r>
            <w:r>
              <w:rPr>
                <w:rFonts w:hint="eastAsia" w:asciiTheme="minorHAnsi" w:hAnsiTheme="minorHAnsi" w:eastAsiaTheme="minorEastAsia" w:cstheme="minorBidi"/>
                <w:sz w:val="21"/>
                <w:szCs w:val="22"/>
                <w:highlight w:val="none"/>
              </w:rPr>
              <w:t xml:space="preserve">落地式机柜，尺寸≧600*800*2000mm</w:t>
            </w:r>
            <w:r/>
          </w:p>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2、容量：42U</w:t>
            </w:r>
            <w:r>
              <w:rPr>
                <w:rFonts w:asciiTheme="minorHAnsi" w:hAnsiTheme="minorHAnsi" w:eastAsiaTheme="minorEastAsia" w:cstheme="minorBidi"/>
                <w:sz w:val="21"/>
                <w:szCs w:val="22"/>
                <w:highlight w:val="none"/>
              </w:rPr>
              <w:br/>
            </w:r>
            <w:r>
              <w:rPr>
                <w:rFonts w:asciiTheme="minorHAnsi" w:hAnsiTheme="minorHAnsi" w:eastAsiaTheme="minorEastAsia" w:cstheme="minorBidi"/>
                <w:sz w:val="21"/>
                <w:szCs w:val="22"/>
                <w:highlight w:val="none"/>
              </w:rPr>
              <w:t xml:space="preserve">3、采用冷轧钢板，表层静电喷塑强度高。</w:t>
            </w:r>
            <w:r>
              <w:rPr>
                <w:rFonts w:asciiTheme="minorHAnsi" w:hAnsiTheme="minorHAnsi" w:eastAsiaTheme="minorEastAsia" w:cstheme="minorBidi"/>
                <w:sz w:val="21"/>
                <w:szCs w:val="22"/>
                <w:highlight w:val="none"/>
              </w:rPr>
              <w:br/>
            </w:r>
            <w:r>
              <w:rPr>
                <w:rFonts w:asciiTheme="minorHAnsi" w:hAnsiTheme="minorHAnsi" w:eastAsiaTheme="minorEastAsia" w:cstheme="minorBidi"/>
                <w:sz w:val="21"/>
                <w:szCs w:val="22"/>
                <w:highlight w:val="none"/>
              </w:rPr>
              <w:t xml:space="preserve">4、拆卸方便，方便设备的安装及布线。</w:t>
            </w:r>
            <w:r>
              <w:rPr>
                <w:rFonts w:asciiTheme="minorHAnsi" w:hAnsiTheme="minorHAnsi" w:eastAsiaTheme="minorEastAsia" w:cstheme="minorBidi"/>
                <w:sz w:val="21"/>
                <w:szCs w:val="22"/>
                <w:highlight w:val="none"/>
              </w:rPr>
              <w:br/>
            </w:r>
            <w:r>
              <w:rPr>
                <w:rFonts w:asciiTheme="minorHAnsi" w:hAnsiTheme="minorHAnsi" w:eastAsiaTheme="minorEastAsia" w:cstheme="minorBidi"/>
                <w:sz w:val="21"/>
                <w:szCs w:val="22"/>
                <w:highlight w:val="none"/>
              </w:rPr>
              <w:t xml:space="preserve">5、含PDU插排1个和必要的安装工具及配件。</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个</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7</w:t>
            </w:r>
            <w:r/>
          </w:p>
        </w:tc>
        <w:tc>
          <w:tcPr>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音箱设备</w:t>
            </w:r>
            <w:r/>
          </w:p>
        </w:tc>
        <w:tc>
          <w:tcPr>
            <w:tcW w:w="8338" w:type="dxa"/>
            <w:vAlign w:val="center"/>
            <w:textDirection w:val="lrTb"/>
            <w:noWrap w:val="false"/>
          </w:tcPr>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1、含一台功放、二个音箱、二支无线麦、鹅颈式麦。</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功放：双通道；散热风扇采用了智能无级变速电路；防浪冲设计，更好的保护了后级电路；内设压限电路，对末端音箱起到了更好的保护作用；完善的保护电路，多热保护，短路保护，直流保护，射频干扰滤波保护。</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3</w:t>
            </w:r>
            <w:r>
              <w:rPr>
                <w:rFonts w:asciiTheme="minorHAnsi" w:hAnsiTheme="minorHAnsi" w:eastAsiaTheme="minorEastAsia" w:cstheme="minorBidi"/>
                <w:sz w:val="21"/>
                <w:szCs w:val="22"/>
              </w:rPr>
              <w:t xml:space="preserve">、音响：两分频单12"全频箱，推荐放大器功率 600W/8ohm。</w:t>
            </w:r>
            <w:r>
              <w:rPr>
                <w:rFonts w:asciiTheme="minorHAnsi" w:hAnsiTheme="minorHAnsi" w:eastAsiaTheme="minorEastAsia" w:cstheme="minorBidi"/>
                <w:sz w:val="21"/>
                <w:szCs w:val="22"/>
              </w:rPr>
              <w:br/>
            </w:r>
            <w:r>
              <w:rPr>
                <w:rFonts w:hint="eastAsia" w:asciiTheme="minorHAnsi" w:hAnsiTheme="minorHAnsi" w:eastAsiaTheme="minorEastAsia" w:cstheme="minorBidi"/>
                <w:sz w:val="21"/>
                <w:szCs w:val="22"/>
              </w:rPr>
              <w:t xml:space="preserve">4</w:t>
            </w:r>
            <w:r>
              <w:rPr>
                <w:rFonts w:asciiTheme="minorHAnsi" w:hAnsiTheme="minorHAnsi" w:eastAsiaTheme="minorEastAsia" w:cstheme="minorBidi"/>
                <w:sz w:val="21"/>
                <w:szCs w:val="22"/>
              </w:rPr>
              <w:t xml:space="preserve">、无线麦克风设备：具</w:t>
            </w:r>
            <w:r>
              <w:rPr>
                <w:rFonts w:hint="eastAsia" w:asciiTheme="minorHAnsi" w:hAnsiTheme="minorHAnsi" w:eastAsiaTheme="minorEastAsia" w:cstheme="minorBidi"/>
                <w:sz w:val="21"/>
                <w:szCs w:val="22"/>
              </w:rPr>
              <w:t xml:space="preserve">有</w:t>
            </w:r>
            <w:r>
              <w:rPr>
                <w:rFonts w:asciiTheme="minorHAnsi" w:hAnsiTheme="minorHAnsi" w:eastAsiaTheme="minorEastAsia" w:cstheme="minorBidi"/>
                <w:sz w:val="21"/>
                <w:szCs w:val="22"/>
              </w:rPr>
              <w:t xml:space="preserve">先进的数字ID导频功能，彻底杜绝干扰和窜频现象；采用23级电子音量控制,理想使用距离100米；200组可选频点，抗干扰能力强；接收机带发射电池用量显示，手咪通用；设有回输啸叫抑制减弱功能，能有效减少回输啸叫；可任意选配手咪、头戴、领夹、鹅颈。</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套</w:t>
            </w:r>
            <w:r/>
          </w:p>
        </w:tc>
      </w:tr>
      <w:tr>
        <w:trPr/>
        <w:tc>
          <w:tcPr>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8</w:t>
            </w:r>
            <w:r/>
          </w:p>
        </w:tc>
        <w:tc>
          <w:tcPr>
            <w:tcW w:w="851" w:type="dxa"/>
            <w:vAlign w:val="center"/>
            <w:textDirection w:val="lrTb"/>
            <w:noWrap w:val="false"/>
          </w:tcPr>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项目式教学桌椅（定制）</w:t>
            </w:r>
            <w:r/>
          </w:p>
        </w:tc>
        <w:tc>
          <w:tcPr>
            <w:tcW w:w="8338" w:type="dxa"/>
            <w:vAlign w:val="center"/>
            <w:textDirection w:val="lrTb"/>
            <w:noWrap w:val="false"/>
          </w:tcPr>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1、定制：木质桌面，金属桌腿，尺寸预估2</w:t>
            </w:r>
            <w:r>
              <w:rPr>
                <w:rFonts w:asciiTheme="minorHAnsi" w:hAnsiTheme="minorHAnsi" w:eastAsiaTheme="minorEastAsia" w:cstheme="minorBidi"/>
                <w:sz w:val="21"/>
                <w:szCs w:val="22"/>
                <w:highlight w:val="none"/>
              </w:rPr>
              <w:t xml:space="preserve">.4</w:t>
            </w:r>
            <w:r>
              <w:rPr>
                <w:rFonts w:hint="eastAsia" w:asciiTheme="minorHAnsi" w:hAnsiTheme="minorHAnsi" w:eastAsiaTheme="minorEastAsia" w:cstheme="minorBidi"/>
                <w:sz w:val="21"/>
                <w:szCs w:val="22"/>
                <w:highlight w:val="none"/>
              </w:rPr>
              <w:t xml:space="preserve">m</w:t>
            </w:r>
            <w:r>
              <w:rPr>
                <w:rFonts w:asciiTheme="minorHAnsi" w:hAnsiTheme="minorHAnsi" w:eastAsiaTheme="minorEastAsia" w:cstheme="minorBidi"/>
                <w:sz w:val="21"/>
                <w:szCs w:val="22"/>
                <w:highlight w:val="none"/>
              </w:rPr>
              <w:t xml:space="preserve">*2.4</w:t>
            </w:r>
            <w:r>
              <w:rPr>
                <w:rFonts w:hint="eastAsia" w:asciiTheme="minorHAnsi" w:hAnsiTheme="minorHAnsi" w:eastAsiaTheme="minorEastAsia" w:cstheme="minorBidi"/>
                <w:sz w:val="21"/>
                <w:szCs w:val="22"/>
                <w:highlight w:val="none"/>
              </w:rPr>
              <w:t xml:space="preserve">m</w:t>
            </w:r>
            <w:r>
              <w:rPr>
                <w:rFonts w:asciiTheme="minorHAnsi" w:hAnsiTheme="minorHAnsi" w:eastAsiaTheme="minorEastAsia" w:cstheme="minorBidi"/>
                <w:sz w:val="21"/>
                <w:szCs w:val="22"/>
                <w:highlight w:val="none"/>
              </w:rPr>
              <w:t xml:space="preserve">*1</w:t>
            </w:r>
            <w:r>
              <w:rPr>
                <w:rFonts w:hint="eastAsia" w:asciiTheme="minorHAnsi" w:hAnsiTheme="minorHAnsi" w:eastAsiaTheme="minorEastAsia" w:cstheme="minorBidi"/>
                <w:sz w:val="21"/>
                <w:szCs w:val="22"/>
                <w:highlight w:val="none"/>
              </w:rPr>
              <w:t xml:space="preserve">m，具体尺寸需要现场。</w:t>
            </w:r>
            <w:r/>
          </w:p>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2、形状：根据现场环境选择长方形桌或六边形桌，满足项目式教学需要。</w:t>
            </w:r>
            <w:r/>
          </w:p>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3、材质（台面）：采用环保材料，无味。</w:t>
            </w:r>
            <w:r/>
          </w:p>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4、桌脚材质：全镀锌烤漆不掉漆，防锈性能高，并配有地板保护胶套。</w:t>
            </w:r>
            <w:r/>
          </w:p>
          <w:p>
            <w:pPr>
              <w:ind w:left="0"/>
              <w:widowControl/>
              <w:rPr>
                <w:rFonts w:asciiTheme="minorHAnsi" w:hAnsiTheme="minorHAnsi" w:eastAsiaTheme="minorEastAsia" w:cstheme="minorBidi"/>
                <w:sz w:val="21"/>
                <w:szCs w:val="22"/>
                <w:highlight w:val="none"/>
              </w:rPr>
            </w:pPr>
            <w:r>
              <w:rPr>
                <w:rFonts w:hint="eastAsia" w:asciiTheme="minorHAnsi" w:hAnsiTheme="minorHAnsi" w:eastAsiaTheme="minorEastAsia" w:cstheme="minorBidi"/>
                <w:sz w:val="21"/>
                <w:szCs w:val="22"/>
                <w:highlight w:val="none"/>
              </w:rPr>
              <w:t xml:space="preserve">5、满足8组学生1名教师使用，配椅子。</w:t>
            </w:r>
            <w:r/>
          </w:p>
        </w:tc>
        <w:tc>
          <w:tcPr>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套</w:t>
            </w:r>
            <w:r/>
          </w:p>
        </w:tc>
      </w:tr>
      <w:tr>
        <w:trPr/>
        <w:tc>
          <w:tcPr>
            <w:tcBorders>
              <w:bottom w:val="single" w:color="auto" w:sz="4" w:space="0"/>
            </w:tcBorders>
            <w:tcW w:w="360"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9</w:t>
            </w:r>
            <w:r/>
          </w:p>
        </w:tc>
        <w:tc>
          <w:tcPr>
            <w:tcBorders>
              <w:bottom w:val="single" w:color="auto" w:sz="4" w:space="0"/>
            </w:tcBorders>
            <w:tcW w:w="851"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网络布线及辅材</w:t>
            </w:r>
            <w:r/>
          </w:p>
        </w:tc>
        <w:tc>
          <w:tcPr>
            <w:tcBorders>
              <w:bottom w:val="single" w:color="auto" w:sz="4" w:space="0"/>
            </w:tcBorders>
            <w:tcW w:w="8338" w:type="dxa"/>
            <w:vAlign w:val="center"/>
            <w:textDirection w:val="lrTb"/>
            <w:noWrap w:val="false"/>
          </w:tcPr>
          <w:p>
            <w:pPr>
              <w:ind w:left="0"/>
              <w:widowControl/>
              <w:rPr>
                <w:rFonts w:asciiTheme="minorHAnsi" w:hAnsiTheme="minorHAnsi" w:eastAsiaTheme="minorEastAsia" w:cstheme="minorBidi"/>
                <w:sz w:val="21"/>
                <w:szCs w:val="22"/>
              </w:rPr>
            </w:pPr>
            <w:r>
              <w:rPr>
                <w:rFonts w:asciiTheme="minorHAnsi" w:hAnsiTheme="minorHAnsi" w:eastAsiaTheme="minorEastAsia" w:cstheme="minorBidi"/>
                <w:sz w:val="21"/>
                <w:szCs w:val="22"/>
              </w:rPr>
              <w:t xml:space="preserve">1、完成现场电脑的网络布线，做好线号标记和整理线缆工作。</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2、完成现场网络机柜以及以太网交换机的安装固定、取电、网络连接工作。</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3、完成服务器的网络连接及取电工作。</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4、超六类双屏蔽网线1000米，水晶头2盒，电源线300米，咸线槽1项（根据现场环境调整）。</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5、水晶头均采用安普屏蔽水晶头，并用水晶头护套保护。</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6、现场交换机端的线缆需整理后整齐固定。</w:t>
            </w:r>
            <w:r>
              <w:rPr>
                <w:rFonts w:asciiTheme="minorHAnsi" w:hAnsiTheme="minorHAnsi" w:eastAsiaTheme="minorEastAsia" w:cstheme="minorBidi"/>
                <w:sz w:val="21"/>
                <w:szCs w:val="22"/>
              </w:rPr>
              <w:br/>
            </w:r>
            <w:r>
              <w:rPr>
                <w:rFonts w:asciiTheme="minorHAnsi" w:hAnsiTheme="minorHAnsi" w:eastAsiaTheme="minorEastAsia" w:cstheme="minorBidi"/>
                <w:sz w:val="21"/>
                <w:szCs w:val="22"/>
              </w:rPr>
              <w:t xml:space="preserve">7、含网络布线所需的网线、水晶头、线束、插线板等材料和设备设施。</w:t>
            </w:r>
            <w:r/>
          </w:p>
        </w:tc>
        <w:tc>
          <w:tcPr>
            <w:tcBorders>
              <w:bottom w:val="single" w:color="auto" w:sz="4" w:space="0"/>
            </w:tcBorders>
            <w:tcW w:w="48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1</w:t>
            </w:r>
            <w:r/>
          </w:p>
        </w:tc>
        <w:tc>
          <w:tcPr>
            <w:tcBorders>
              <w:bottom w:val="single" w:color="auto" w:sz="4" w:space="0"/>
            </w:tcBorders>
            <w:tcW w:w="407" w:type="dxa"/>
            <w:vAlign w:val="center"/>
            <w:textDirection w:val="lrTb"/>
            <w:noWrap w:val="false"/>
          </w:tcPr>
          <w:p>
            <w:pPr>
              <w:ind w:left="0"/>
              <w:widowControl/>
              <w:rPr>
                <w:rFonts w:asciiTheme="minorHAnsi" w:hAnsiTheme="minorHAnsi" w:eastAsiaTheme="minorEastAsia" w:cstheme="minorBidi"/>
                <w:sz w:val="21"/>
                <w:szCs w:val="22"/>
              </w:rPr>
            </w:pPr>
            <w:r>
              <w:rPr>
                <w:rFonts w:hint="eastAsia" w:asciiTheme="minorHAnsi" w:hAnsiTheme="minorHAnsi" w:eastAsiaTheme="minorEastAsia" w:cstheme="minorBidi"/>
                <w:sz w:val="21"/>
                <w:szCs w:val="22"/>
              </w:rPr>
              <w:t xml:space="preserve">项</w:t>
            </w:r>
            <w:r/>
          </w:p>
        </w:tc>
      </w:tr>
    </w:tbl>
    <w:p>
      <w:pPr>
        <w:ind w:left="0"/>
        <w:spacing w:line="360" w:lineRule="auto"/>
        <w:tabs>
          <w:tab w:val="left" w:pos="0" w:leader="none"/>
        </w:tabs>
        <w:rPr>
          <w:rFonts w:ascii="宋体" w:hAnsi="宋体"/>
          <w:b/>
          <w:bCs/>
          <w:sz w:val="21"/>
          <w:highlight w:val="yellow"/>
        </w:rPr>
      </w:pPr>
      <w:r>
        <w:rPr>
          <w:rFonts w:hint="eastAsia" w:ascii="宋体" w:hAnsi="宋体"/>
          <w:b/>
          <w:bCs/>
          <w:sz w:val="21"/>
        </w:rPr>
        <w:t xml:space="preserve">核心产品：数字化工艺规划及管理平台</w:t>
      </w:r>
      <w:r/>
    </w:p>
    <w:p>
      <w:pPr>
        <w:ind w:left="0" w:firstLine="422"/>
        <w:spacing w:line="360" w:lineRule="auto"/>
        <w:tabs>
          <w:tab w:val="left" w:pos="0" w:leader="none"/>
        </w:tabs>
        <w:rPr>
          <w:rFonts w:ascii="宋体" w:hAnsi="宋体"/>
          <w:b/>
          <w:bCs/>
          <w:sz w:val="21"/>
        </w:rPr>
      </w:pPr>
      <w:r/>
      <w:bookmarkStart w:id="99" w:name="OLE_LINK74"/>
      <w:r>
        <w:rPr>
          <w:rFonts w:hint="eastAsia" w:ascii="宋体" w:hAnsi="宋体"/>
          <w:b/>
          <w:bCs/>
          <w:sz w:val="21"/>
        </w:rPr>
        <w:t xml:space="preserve">本项目所采购服务器,其参数必须满足《通用服务器政府采购需求标准(2023 版)》中所有带有“*”指标项要求，不得出现负偏离。投标人须提供相应的承诺函且加盖投标单位公章，未提供、未按要求提供承诺函的视为非实质性响应。(承诺函格式详见第三章附件13)</w:t>
      </w:r>
      <w:bookmarkEnd w:id="99"/>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本项目所采购服务器中涉及操作系统,其参数必须满足《操作系统政府采购需求标准（2023版）》中所有带有“*”指标项要求，不得出现负偏离。投标人须提供相应的承诺函且加盖投标单位公章，未提供、未按要求提供承诺函的视为非实质性响应。(承诺函格式详见第三章附件13)</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七、项目商务要求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1、交付时间</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自合同签订生效后30天内全部标的物交付安装调试完毕。</w:t>
      </w:r>
      <w:r/>
    </w:p>
    <w:p>
      <w:pPr>
        <w:ind w:left="0" w:firstLine="420"/>
        <w:spacing w:line="360" w:lineRule="auto"/>
        <w:widowControl w:val="off"/>
        <w:rPr>
          <w:rFonts w:ascii="宋体" w:hAnsi="宋体"/>
          <w:sz w:val="21"/>
          <w:szCs w:val="21"/>
        </w:rPr>
      </w:pPr>
      <w:r>
        <w:rPr>
          <w:rFonts w:hint="eastAsia" w:ascii="宋体" w:hAnsi="宋体"/>
          <w:sz w:val="21"/>
          <w:szCs w:val="21"/>
        </w:rPr>
        <w:t xml:space="preserve">2、交付地点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交付地点：采购人指定地点。</w:t>
      </w:r>
      <w:r/>
    </w:p>
    <w:p>
      <w:pPr>
        <w:ind w:left="0" w:firstLine="420"/>
        <w:jc w:val="left"/>
        <w:spacing w:line="440" w:lineRule="exact"/>
        <w:rPr>
          <w:rFonts w:ascii="宋体" w:hAnsi="宋体"/>
          <w:sz w:val="21"/>
          <w:szCs w:val="21"/>
        </w:rPr>
      </w:pPr>
      <w:r>
        <w:rPr>
          <w:rFonts w:hint="eastAsia" w:ascii="宋体" w:hAnsi="宋体"/>
          <w:sz w:val="21"/>
          <w:szCs w:val="21"/>
        </w:rPr>
        <w:t xml:space="preserve">实施地点：</w:t>
      </w:r>
      <w:r>
        <w:rPr>
          <w:rFonts w:hint="eastAsia" w:ascii="宋体" w:hAnsi="宋体"/>
          <w:sz w:val="21"/>
          <w:szCs w:val="21"/>
        </w:rPr>
        <w:t xml:space="preserve">苏州职业技术大学</w:t>
      </w:r>
      <w:r>
        <w:rPr>
          <w:rFonts w:hint="eastAsia" w:ascii="宋体" w:hAnsi="宋体"/>
          <w:sz w:val="21"/>
          <w:szCs w:val="21"/>
        </w:rPr>
        <w:t xml:space="preserve">石湖校区。</w:t>
      </w:r>
      <w:r/>
    </w:p>
    <w:p>
      <w:pPr>
        <w:ind w:left="0" w:firstLine="420"/>
        <w:spacing w:line="360" w:lineRule="auto"/>
        <w:widowControl w:val="off"/>
        <w:rPr>
          <w:rFonts w:ascii="宋体" w:hAnsi="宋体"/>
          <w:sz w:val="21"/>
          <w:szCs w:val="21"/>
        </w:rPr>
      </w:pPr>
      <w:r>
        <w:rPr>
          <w:rFonts w:hint="eastAsia" w:ascii="宋体" w:hAnsi="宋体"/>
          <w:sz w:val="21"/>
          <w:szCs w:val="21"/>
          <w:highlight w:val="yellow"/>
        </w:rPr>
        <w:t xml:space="preserve">踏勘时间：2025年11月20日</w:t>
      </w:r>
      <w:r>
        <w:rPr>
          <w:rFonts w:hint="eastAsia" w:ascii="宋体" w:hAnsi="宋体"/>
          <w:sz w:val="21"/>
          <w:szCs w:val="21"/>
          <w:highlight w:val="yellow"/>
        </w:rPr>
        <w:t xml:space="preserve">上午</w:t>
      </w:r>
      <w:r>
        <w:rPr>
          <w:rFonts w:hint="eastAsia" w:ascii="宋体" w:hAnsi="宋体"/>
          <w:sz w:val="21"/>
          <w:szCs w:val="21"/>
          <w:highlight w:val="yellow"/>
        </w:rPr>
        <w:t xml:space="preserve">09</w:t>
      </w:r>
      <w:r>
        <w:rPr>
          <w:rFonts w:hint="eastAsia" w:ascii="宋体" w:hAnsi="宋体"/>
          <w:sz w:val="21"/>
          <w:szCs w:val="21"/>
          <w:highlight w:val="yellow"/>
        </w:rPr>
        <w:t xml:space="preserve">：</w:t>
      </w:r>
      <w:r>
        <w:rPr>
          <w:rFonts w:hint="eastAsia" w:ascii="宋体" w:hAnsi="宋体"/>
          <w:sz w:val="21"/>
          <w:szCs w:val="21"/>
          <w:highlight w:val="yellow"/>
        </w:rPr>
        <w:t xml:space="preserve">00</w:t>
      </w:r>
      <w:r>
        <w:rPr>
          <w:rFonts w:hint="eastAsia" w:ascii="宋体" w:hAnsi="宋体"/>
          <w:sz w:val="21"/>
          <w:szCs w:val="21"/>
          <w:highlight w:val="yellow"/>
        </w:rPr>
        <w:t xml:space="preserve">，电话15862365608，联系人：李先生。</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3、服务标准、期限、效率等要求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1）投标人所投产品明确所投产品的品牌、型号、规格和外形、尺寸及一些必须说明的技术参数，以及使用的材料的清单，同时明确生产厂家、型号规格等，并提供详细的技术参数及性能说明书。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2）投标人必须承诺招标文件中提出的全部要求，如果其中某些条款不响应时，应在文件中逐条列出，未列出的视同响应。招标文件中的要求为最低要求，投标人可以正偏离响应。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人须保障采购人在使用该产品时不受到第三方关于侵犯专利权、商标权或工业设计权的指控。如果任何第三方提出侵权指控，投标人须与第三方交涉，并承担由此而产生的索赔、损失、损害、支出等一切费用（含律师费）。如采购人因此而遭致损失的，中标单位应赔偿该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4）如购买方在该设备和设备厂商提供的配套资源基础上进行二次开发，形成的新功能和新资源，其知识产权归购买方。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4、人员要求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中标</w:t>
      </w:r>
      <w:r>
        <w:rPr>
          <w:rFonts w:ascii="宋体" w:hAnsi="宋体"/>
          <w:sz w:val="21"/>
          <w:szCs w:val="21"/>
        </w:rPr>
        <w:t xml:space="preserve">单位应提供1名项目负责人，配备不少于3人的项目组团队（含项目负责人），未经采购方同意，项目负责人不得更换。</w:t>
      </w:r>
      <w:r/>
    </w:p>
    <w:p>
      <w:pPr>
        <w:ind w:left="0" w:firstLine="420"/>
        <w:spacing w:line="360" w:lineRule="auto"/>
        <w:widowControl w:val="off"/>
        <w:rPr>
          <w:rFonts w:ascii="宋体" w:hAnsi="宋体"/>
          <w:sz w:val="21"/>
          <w:szCs w:val="21"/>
        </w:rPr>
      </w:pPr>
      <w:r>
        <w:rPr>
          <w:rFonts w:hint="eastAsia" w:ascii="宋体" w:hAnsi="宋体"/>
          <w:sz w:val="21"/>
          <w:szCs w:val="21"/>
        </w:rPr>
        <w:t xml:space="preserve">5、质保及售后服务要求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5.1质保要求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自最终验收合格之日起，免费质保期3年。</w:t>
      </w:r>
      <w:r/>
    </w:p>
    <w:p>
      <w:pPr>
        <w:ind w:left="0" w:firstLine="420"/>
        <w:spacing w:line="360" w:lineRule="auto"/>
        <w:widowControl w:val="off"/>
        <w:rPr>
          <w:rFonts w:ascii="宋体" w:hAnsi="宋体"/>
          <w:sz w:val="21"/>
          <w:szCs w:val="21"/>
        </w:rPr>
      </w:pPr>
      <w:r>
        <w:rPr>
          <w:rFonts w:hint="eastAsia" w:ascii="宋体" w:hAnsi="宋体"/>
          <w:sz w:val="21"/>
          <w:szCs w:val="21"/>
        </w:rPr>
        <w:t xml:space="preserve">5.2售后服务要求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质量保证期（简称“质保期”）：不少于3年，质保期自货物最终验收合格之日起算，质保期内，任何由制造商选材和制造不当引起的质量问题，供应商负责免费维修或更换，供应商对所供货物实行包修、包换、包退、包维护保养，期满后可同时提供终身维修保养服务并保证零配件的供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标准：质保期内的设备，均可获得免费维修服务及免费坏件更换；质保期满后，供应商继续无偿提供不少于2年的软件培训、技术支持及产线维护等服务；所涉及硬件维修及升级以优惠的价格提供有偿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3）服务效率：对采购人的服务通知，供应商在接报后4小时内响应，确定需要后48小时内到达现场，48小时内处理完毕。重大或者无法现场解决的问题，由厂家在7个工作日内提出具体解决方案；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4）供应商需提供迅速优质的售后服务和技术支持。合同期外，需提供永久的保障性服务，以保障软件的正常使用。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5）到货安装调试完成后，有专业工程师现场提供一次系统的使用培训服务，直至采购人相关人员熟练掌握为止。</w:t>
      </w:r>
      <w:r/>
    </w:p>
    <w:p>
      <w:pPr>
        <w:ind w:left="0" w:firstLine="420"/>
        <w:spacing w:line="360" w:lineRule="auto"/>
        <w:widowControl w:val="off"/>
        <w:rPr>
          <w:rFonts w:ascii="宋体" w:hAnsi="宋体"/>
          <w:sz w:val="21"/>
          <w:szCs w:val="21"/>
        </w:rPr>
      </w:pPr>
      <w:r/>
      <w:bookmarkStart w:id="100" w:name="OLE_LINK78"/>
      <w:r/>
      <w:bookmarkStart w:id="101" w:name="OLE_LINK77"/>
      <w:r>
        <w:rPr>
          <w:rFonts w:hint="eastAsia" w:ascii="宋体" w:hAnsi="宋体"/>
          <w:sz w:val="21"/>
          <w:szCs w:val="21"/>
        </w:rPr>
        <w:t xml:space="preserve">6）项目团队人</w:t>
      </w:r>
      <w:r>
        <w:rPr>
          <w:rFonts w:hint="eastAsia" w:ascii="宋体" w:hAnsi="宋体"/>
          <w:sz w:val="21"/>
          <w:szCs w:val="21"/>
          <w:highlight w:val="none"/>
        </w:rPr>
        <w:t xml:space="preserve">员：保证有至少有两名专职的应用支持工程师，保证及时</w:t>
      </w:r>
      <w:bookmarkStart w:id="102" w:name="OLE_LINK76"/>
      <w:r/>
      <w:bookmarkStart w:id="103" w:name="OLE_LINK75"/>
      <w:r>
        <w:rPr>
          <w:rFonts w:hint="eastAsia" w:ascii="宋体" w:hAnsi="宋体"/>
          <w:sz w:val="21"/>
          <w:szCs w:val="21"/>
          <w:highlight w:val="none"/>
        </w:rPr>
        <w:t xml:space="preserve">优质</w:t>
      </w:r>
      <w:bookmarkEnd w:id="102"/>
      <w:r/>
      <w:bookmarkEnd w:id="103"/>
      <w:r>
        <w:rPr>
          <w:rFonts w:hint="eastAsia" w:ascii="宋体" w:hAnsi="宋体"/>
          <w:sz w:val="21"/>
          <w:szCs w:val="21"/>
          <w:highlight w:val="none"/>
        </w:rPr>
        <w:t xml:space="preserve">的售后服务，包括故障处理、技术支持、应用培训等。拟派项目团队人员具有丰富的资历以及专业的技术能力。</w:t>
      </w:r>
      <w:bookmarkEnd w:id="100"/>
      <w:r/>
      <w:bookmarkEnd w:id="101"/>
      <w:r/>
      <w:r/>
    </w:p>
    <w:p>
      <w:pPr>
        <w:ind w:left="0" w:firstLine="420"/>
        <w:spacing w:line="360" w:lineRule="auto"/>
        <w:widowControl w:val="off"/>
        <w:rPr>
          <w:rFonts w:ascii="宋体" w:hAnsi="宋体"/>
          <w:sz w:val="21"/>
          <w:szCs w:val="21"/>
        </w:rPr>
      </w:pPr>
      <w:r>
        <w:rPr>
          <w:rFonts w:hint="eastAsia" w:ascii="宋体" w:hAnsi="宋体"/>
          <w:sz w:val="21"/>
          <w:szCs w:val="21"/>
        </w:rPr>
        <w:t xml:space="preserve">6、人员培训要求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1）在设备安装和调试完成后，中标人应提供培训服务，提供专业技术人员对采购人使用设备人员和相关管理人员进行不少于一周培训，并保证两名以上操作人员熟练掌握操作技术为止。</w:t>
      </w:r>
      <w:r/>
    </w:p>
    <w:p>
      <w:pPr>
        <w:ind w:left="0" w:firstLine="420"/>
        <w:spacing w:line="360" w:lineRule="auto"/>
        <w:widowControl w:val="off"/>
        <w:rPr>
          <w:rFonts w:ascii="宋体" w:hAnsi="宋体"/>
          <w:sz w:val="21"/>
          <w:szCs w:val="21"/>
        </w:rPr>
      </w:pPr>
      <w:r>
        <w:rPr>
          <w:rFonts w:hint="eastAsia" w:ascii="宋体" w:hAnsi="宋体"/>
          <w:sz w:val="21"/>
          <w:szCs w:val="21"/>
        </w:rPr>
        <w:t xml:space="preserve">2）供应商需制定详细的培训内容和培训计划；如遇设备升级更新，中标人需及时提供更新操作指导。</w:t>
      </w:r>
      <w:r/>
    </w:p>
    <w:p>
      <w:pPr>
        <w:ind w:left="0" w:firstLine="420"/>
        <w:spacing w:line="360" w:lineRule="auto"/>
        <w:widowControl w:val="off"/>
        <w:rPr>
          <w:rFonts w:ascii="宋体" w:hAnsi="宋体"/>
          <w:sz w:val="21"/>
          <w:szCs w:val="21"/>
        </w:rPr>
      </w:pPr>
      <w:r>
        <w:rPr>
          <w:rFonts w:hint="eastAsia" w:ascii="宋体" w:hAnsi="宋体"/>
          <w:sz w:val="21"/>
          <w:szCs w:val="21"/>
        </w:rPr>
        <w:t xml:space="preserve">3）依据采购人的实际情况，协商制定切实可行的完整培训计划,采用集中培训与专项指导两种方式，为采购人免费培训使用与维护软件的有关技术人员。软硬件等设备的安装、调试进行现场使用的培训，内容包括设备的工作原理、操作步骤、正常维护和应用等，使培训人员能够正确、熟练操作及掌握仪器简易的故障判别及排除、维修。</w:t>
      </w:r>
      <w:r/>
    </w:p>
    <w:p>
      <w:pPr>
        <w:ind w:left="0" w:firstLine="420"/>
        <w:spacing w:line="360" w:lineRule="auto"/>
        <w:widowControl w:val="off"/>
        <w:rPr>
          <w:rFonts w:ascii="宋体" w:hAnsi="宋体"/>
          <w:sz w:val="21"/>
          <w:szCs w:val="21"/>
        </w:rPr>
      </w:pPr>
      <w:r>
        <w:rPr>
          <w:rFonts w:hint="eastAsia" w:ascii="宋体" w:hAnsi="宋体"/>
          <w:sz w:val="21"/>
          <w:szCs w:val="21"/>
        </w:rPr>
        <w:t xml:space="preserve">7、价格组成</w:t>
      </w:r>
      <w:r/>
    </w:p>
    <w:p>
      <w:pPr>
        <w:ind w:left="0" w:firstLine="420"/>
        <w:spacing w:line="360" w:lineRule="auto"/>
        <w:widowControl w:val="off"/>
        <w:rPr>
          <w:rFonts w:ascii="宋体" w:hAnsi="宋体"/>
          <w:sz w:val="21"/>
          <w:szCs w:val="21"/>
        </w:rPr>
      </w:pPr>
      <w:r>
        <w:rPr>
          <w:rFonts w:hint="eastAsia" w:ascii="宋体" w:hAnsi="宋体"/>
          <w:sz w:val="21"/>
          <w:szCs w:val="21"/>
        </w:rPr>
        <w:t xml:space="preserve">预算价格包括系统项目设计、管理、全部硬件设备、软件系统及其备品、备件、材料、辅助材料和专用工具费用，包装、仓储、运输、</w:t>
      </w:r>
      <w:r>
        <w:rPr>
          <w:rFonts w:hint="eastAsia" w:ascii="宋体" w:hAnsi="宋体"/>
          <w:sz w:val="21"/>
          <w:szCs w:val="21"/>
        </w:rPr>
        <w:t xml:space="preserve">安装调试、检测验收、试运行直到运行验收完成等各项应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八、验收方案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1.履约验收标准：根据《江苏省财政厅关于印发&lt;江苏省政府采购履约验收管理办法&gt;的通知》(苏财规(2024)7号)相关要求，组织项目履约验收基本工作。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2.履约验收主体：由采购人验收组验收。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3.履约验收方式：采购人将按照验收标准要求组织验收，验收内容和标准至少包括服务质量、用户满意度、服务过程文档资料、数据准确性等内容。中标供应商应当按照政府采购合同的约定，配合采购人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left="0" w:firstLine="420"/>
        <w:spacing w:line="360" w:lineRule="auto"/>
        <w:widowControl w:val="off"/>
        <w:rPr>
          <w:rFonts w:ascii="宋体" w:hAnsi="宋体"/>
          <w:sz w:val="21"/>
          <w:szCs w:val="21"/>
        </w:rPr>
      </w:pPr>
      <w:r>
        <w:rPr>
          <w:rFonts w:hint="eastAsia" w:ascii="宋体" w:hAnsi="宋体"/>
          <w:sz w:val="21"/>
          <w:szCs w:val="21"/>
        </w:rPr>
        <w:t xml:space="preserve">4.验收程序：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4.1履约验收时间：验收期限在安装调试结束30天日内进行。特殊情况需延长的，双方应特别约定。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4.2采购文件、响应文件、政府采购合同等是履约验收工作的重要依据。在政府采购合同约定的履行验收条件达到时，采购方应当及时启动履约验收工作。在政府采购合同约定的履行验收条件达到时，中标供应商可以主动联系甲方启动履约验收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4.3甲方验收组应当按照验收工作实施方案开展验收，对乙方提供的服务按照招标文件、投标文件、政府采购合同等进行逐一核对、验收，并做好验收记录。</w:t>
      </w:r>
      <w:r/>
    </w:p>
    <w:p>
      <w:pPr>
        <w:ind w:left="0" w:firstLine="420"/>
        <w:spacing w:line="360" w:lineRule="auto"/>
        <w:widowControl w:val="off"/>
        <w:rPr>
          <w:rFonts w:ascii="宋体" w:hAnsi="宋体"/>
          <w:sz w:val="21"/>
          <w:szCs w:val="21"/>
        </w:rPr>
      </w:pPr>
      <w:r>
        <w:rPr>
          <w:rFonts w:hint="eastAsia" w:ascii="宋体" w:hAnsi="宋体"/>
          <w:sz w:val="21"/>
          <w:szCs w:val="21"/>
        </w:rPr>
        <w:t xml:space="preserve">4.4履约验收工作结束后，验收组应形成书面验收意见，列明各项标准的验收情况及项目总体评价。验收组所有成员应当在书面验收意见上签字并报送甲方。验收组成员意见不一致时，按照少数服从多数的原则作出验收意见，并将不一致意见如实记录。</w:t>
      </w:r>
      <w:r/>
    </w:p>
    <w:p>
      <w:pPr>
        <w:ind w:left="0" w:firstLine="420"/>
        <w:spacing w:line="360" w:lineRule="auto"/>
        <w:widowControl w:val="off"/>
        <w:rPr>
          <w:rFonts w:ascii="宋体" w:hAnsi="宋体"/>
          <w:sz w:val="21"/>
          <w:szCs w:val="21"/>
        </w:rPr>
      </w:pPr>
      <w:r>
        <w:rPr>
          <w:rFonts w:hint="eastAsia" w:ascii="宋体" w:hAnsi="宋体"/>
          <w:sz w:val="21"/>
          <w:szCs w:val="21"/>
        </w:rPr>
        <w:t xml:space="preserve">4.5乙方提供的货物均符合国家相关条例要求，能保证所提供货物涉及到的知识产权是合法取得，并享有完整的知识产权，不会因为采购方的使用而被责令停止使用、追偿或要求赔偿损失，如出现此情况，一切经济和法律责任均由乙方承担。乙方提供的所有货物必须为正规合格产品，如出现质量问题或系假冒伪劣产品，乙方负责包退、包换，承担由此产生的费用，且学校有权终止合同。</w:t>
      </w:r>
      <w:r/>
    </w:p>
    <w:p>
      <w:pPr>
        <w:ind w:left="0" w:firstLine="420"/>
        <w:spacing w:line="360" w:lineRule="auto"/>
        <w:widowControl w:val="off"/>
      </w:pPr>
      <w:r>
        <w:rPr>
          <w:rFonts w:hint="eastAsia" w:ascii="宋体" w:hAnsi="宋体"/>
          <w:sz w:val="21"/>
          <w:szCs w:val="21"/>
        </w:rPr>
        <w:t xml:space="preserve">5.经双方共同验收，项目履约验收合格的，甲方根据政府采购合同约定及时向乙方支付采购资金，不得拖延、拖欠或非法扣留；项目验收不合格的，甲方应当停止支付采购资金，并按照政府采购合同约定追究乙方违约责任。当双方对验收标准有争议时，可委托双方一致认可的具有检测资质的检测中心进行检测。</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九、综合说明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十、政府采购政策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十一、关于对参与供应商信用记录的政府采购要求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十二、</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104" w:name="_Toc5111"/>
      <w:r/>
      <w:bookmarkStart w:id="105" w:name="_Toc11789"/>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合同及主要条款</w:t>
      </w:r>
      <w:bookmarkEnd w:id="104"/>
      <w:r/>
      <w:bookmarkEnd w:id="105"/>
      <w:r/>
      <w:bookmarkEnd w:id="107"/>
      <w:r/>
      <w:bookmarkEnd w:id="106"/>
      <w:r/>
      <w:r/>
    </w:p>
    <w:p>
      <w:pPr>
        <w:ind w:left="0"/>
        <w:jc w:val="center"/>
        <w:rPr>
          <w:rFonts w:ascii="宋体" w:hAnsi="宋体"/>
          <w:b/>
          <w:sz w:val="32"/>
          <w:szCs w:val="32"/>
        </w:rPr>
      </w:pPr>
      <w:r/>
      <w:bookmarkStart w:id="109" w:name="_Toc8564"/>
      <w:r/>
      <w:bookmarkStart w:id="110" w:name="_Toc27667"/>
      <w:r/>
      <w:bookmarkStart w:id="111"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项目名称：数字化协同设计与工艺规划平台建设</w:t>
      </w:r>
      <w:r/>
    </w:p>
    <w:p>
      <w:pPr>
        <w:ind w:left="0"/>
        <w:jc w:val="left"/>
        <w:spacing w:line="360" w:lineRule="auto"/>
        <w:rPr>
          <w:rFonts w:ascii="宋体" w:hAnsi="宋体"/>
          <w:b/>
          <w:sz w:val="21"/>
        </w:rPr>
      </w:pPr>
      <w:r>
        <w:rPr>
          <w:rFonts w:hint="eastAsia" w:ascii="宋体" w:hAnsi="宋体"/>
          <w:b/>
          <w:sz w:val="21"/>
        </w:rPr>
        <w:t xml:space="preserve">项目编号：JSZC-320500-JZCG-G2025-0566</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rPr>
          <w:rFonts w:ascii="宋体" w:hAnsi="宋体"/>
          <w:sz w:val="21"/>
        </w:rPr>
      </w:pPr>
      <w:r>
        <w:rPr>
          <w:rFonts w:hint="eastAsia" w:ascii="宋体" w:hAnsi="宋体"/>
          <w:sz w:val="21"/>
          <w:szCs w:val="21"/>
        </w:rPr>
        <w:t xml:space="preserve">（1）</w:t>
      </w:r>
      <w:r>
        <w:rPr>
          <w:rFonts w:hint="eastAsia" w:ascii="宋体" w:hAnsi="宋体"/>
          <w:sz w:val="21"/>
        </w:rPr>
        <w:t xml:space="preserve">本项目的预付款为合同金额的30%。待全部货物安装到位，经调试、验收合格后，乙方将中标金额5%的履约保证金缴纳至甲方指定账户，且提供下列材料后30个工作日内，甲方按合同总价向乙方支付合同余下的全部货款。质保期满后，且无质量问题，乙方向甲方项目建设单位提出书面申请，</w:t>
      </w:r>
      <w:r>
        <w:rPr>
          <w:rFonts w:hint="eastAsia" w:ascii="宋体" w:hAnsi="宋体"/>
          <w:sz w:val="21"/>
          <w:highlight w:val="yellow"/>
        </w:rPr>
        <w:t xml:space="preserve">待甲方签字同意</w:t>
      </w:r>
      <w:r>
        <w:rPr>
          <w:rFonts w:hint="eastAsia" w:ascii="宋体" w:hAnsi="宋体"/>
          <w:sz w:val="21"/>
        </w:rPr>
        <w:t xml:space="preserve">支付后，甲方一个月内退回履约保证金（无息）。</w:t>
      </w:r>
      <w:r/>
    </w:p>
    <w:p>
      <w:pPr>
        <w:ind w:left="0" w:firstLine="420"/>
        <w:spacing w:line="360" w:lineRule="auto"/>
        <w:rPr>
          <w:rFonts w:ascii="宋体" w:hAnsi="宋体"/>
          <w:sz w:val="21"/>
        </w:rPr>
      </w:pPr>
      <w:r>
        <w:rPr>
          <w:rFonts w:hint="eastAsia" w:ascii="宋体" w:hAnsi="宋体"/>
          <w:sz w:val="21"/>
        </w:rPr>
        <w:t xml:space="preserve">A、合格销售发票</w:t>
      </w:r>
      <w:r/>
    </w:p>
    <w:p>
      <w:pPr>
        <w:ind w:left="0" w:firstLine="420"/>
        <w:spacing w:line="360" w:lineRule="auto"/>
        <w:rPr>
          <w:rFonts w:ascii="宋体" w:hAnsi="宋体"/>
          <w:sz w:val="21"/>
        </w:rPr>
      </w:pPr>
      <w:r>
        <w:rPr>
          <w:rFonts w:hint="eastAsia" w:ascii="宋体" w:hAnsi="宋体"/>
          <w:sz w:val="21"/>
        </w:rPr>
        <w:t xml:space="preserve">B、甲方签收后的送货回单（若有）</w:t>
      </w:r>
      <w:r/>
    </w:p>
    <w:p>
      <w:pPr>
        <w:ind w:left="0" w:firstLine="420"/>
        <w:spacing w:line="360" w:lineRule="auto"/>
        <w:rPr>
          <w:rFonts w:ascii="宋体" w:hAnsi="宋体"/>
          <w:sz w:val="21"/>
        </w:rPr>
      </w:pPr>
      <w:r>
        <w:rPr>
          <w:rFonts w:hint="eastAsia" w:ascii="宋体" w:hAnsi="宋体"/>
          <w:sz w:val="21"/>
        </w:rPr>
        <w:t xml:space="preserve">C、甲乙双方的《合同履行验收报告》</w:t>
      </w:r>
      <w:r/>
    </w:p>
    <w:p>
      <w:pPr>
        <w:ind w:left="0" w:firstLine="420"/>
        <w:spacing w:line="360" w:lineRule="auto"/>
        <w:rPr>
          <w:rFonts w:ascii="宋体" w:hAnsi="宋体"/>
          <w:sz w:val="21"/>
        </w:rPr>
      </w:pPr>
      <w:r>
        <w:rPr>
          <w:rFonts w:hint="eastAsia" w:ascii="宋体" w:hAnsi="宋体"/>
          <w:sz w:val="21"/>
        </w:rPr>
        <w:t xml:space="preserve">D、履约保证金缴纳凭证（若有）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15"/>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15"/>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4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49"/>
        <w:ind w:left="400" w:firstLine="883"/>
        <w:rPr>
          <w:rFonts w:ascii="宋体" w:hAnsi="宋体"/>
          <w:b/>
          <w:sz w:val="44"/>
          <w:szCs w:val="22"/>
        </w:rPr>
      </w:pPr>
      <w:r>
        <w:rPr>
          <w:rFonts w:hint="eastAsia" w:ascii="宋体" w:hAnsi="宋体"/>
          <w:b/>
          <w:sz w:val="44"/>
          <w:szCs w:val="22"/>
        </w:rPr>
        <w:t xml:space="preserve"> </w:t>
      </w:r>
      <w:r/>
    </w:p>
    <w:p>
      <w:pPr>
        <w:pStyle w:val="1049"/>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9"/>
      <w:r/>
      <w:bookmarkEnd w:id="110"/>
      <w:r/>
      <w:bookmarkEnd w:id="111"/>
      <w:r/>
      <w:bookmarkEnd w:id="112"/>
      <w:r/>
      <w:r/>
    </w:p>
    <w:p>
      <w:pPr>
        <w:ind w:left="0" w:firstLine="422"/>
        <w:spacing w:line="360" w:lineRule="auto"/>
        <w:rPr>
          <w:rFonts w:ascii="宋体" w:hAnsi="宋体"/>
          <w:b/>
          <w:sz w:val="21"/>
          <w:szCs w:val="21"/>
        </w:rPr>
      </w:pPr>
      <w:r/>
      <w:bookmarkStart w:id="114" w:name="_Toc17476"/>
      <w:r/>
      <w:bookmarkStart w:id="115" w:name="_Toc698"/>
      <w:r/>
      <w:bookmarkStart w:id="116" w:name="_Toc16264"/>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投标报价得分＝（评标基准价/投标报价）×4</w:t>
      </w:r>
      <w:r>
        <w:rPr>
          <w:rFonts w:ascii="宋体" w:hAnsi="宋体"/>
          <w:sz w:val="21"/>
        </w:rPr>
        <w:t xml:space="preserve">0</w:t>
      </w:r>
      <w:r>
        <w:rPr>
          <w:rFonts w:hint="eastAsia" w:ascii="宋体" w:hAnsi="宋体"/>
          <w:sz w:val="21"/>
        </w:rPr>
        <w:t xml:space="preserve">％×100</w:t>
      </w:r>
      <w:r/>
    </w:p>
    <w:p>
      <w:pPr>
        <w:pStyle w:val="1016"/>
      </w:pPr>
      <w:r/>
      <w:r/>
    </w:p>
    <w:p>
      <w:pPr>
        <w:ind w:left="0" w:firstLine="422"/>
        <w:spacing w:line="360" w:lineRule="auto"/>
        <w:rPr>
          <w:rFonts w:ascii="宋体" w:hAnsi="宋体"/>
          <w:b/>
          <w:bCs/>
          <w:sz w:val="21"/>
        </w:rPr>
      </w:pPr>
      <w:r>
        <w:rPr>
          <w:rFonts w:hint="eastAsia" w:ascii="宋体" w:hAnsi="宋体"/>
          <w:b/>
          <w:bCs/>
          <w:sz w:val="21"/>
        </w:rPr>
        <w:t xml:space="preserve">（二）技术方案（12分）</w:t>
      </w:r>
      <w:r/>
    </w:p>
    <w:p>
      <w:pPr>
        <w:ind w:left="0" w:firstLine="420"/>
        <w:spacing w:line="360" w:lineRule="auto"/>
        <w:rPr>
          <w:rFonts w:ascii="宋体" w:hAnsi="宋体"/>
          <w:sz w:val="21"/>
        </w:rPr>
      </w:pPr>
      <w:r>
        <w:rPr>
          <w:rFonts w:hint="eastAsia" w:ascii="宋体" w:hAnsi="宋体"/>
          <w:sz w:val="21"/>
        </w:rPr>
        <w:t xml:space="preserve">1.提供技术方案：</w:t>
      </w:r>
      <w:r/>
    </w:p>
    <w:p>
      <w:pPr>
        <w:ind w:left="0" w:firstLine="420"/>
        <w:spacing w:line="360" w:lineRule="auto"/>
        <w:rPr>
          <w:rFonts w:ascii="宋体" w:hAnsi="宋体"/>
          <w:sz w:val="21"/>
        </w:rPr>
      </w:pPr>
      <w:r>
        <w:rPr>
          <w:rFonts w:hint="eastAsia" w:ascii="宋体" w:hAnsi="宋体"/>
          <w:sz w:val="21"/>
        </w:rPr>
        <w:t xml:space="preserve">投标人需结合项目需求提供技术方案与技术方案包括但不限于：</w:t>
      </w:r>
      <w:r/>
    </w:p>
    <w:p>
      <w:pPr>
        <w:ind w:left="0" w:firstLine="420"/>
        <w:spacing w:line="360" w:lineRule="auto"/>
        <w:rPr>
          <w:rFonts w:ascii="宋体" w:hAnsi="宋体"/>
          <w:sz w:val="21"/>
        </w:rPr>
      </w:pPr>
      <w:r>
        <w:rPr>
          <w:rFonts w:hint="eastAsia" w:ascii="宋体" w:hAnsi="宋体"/>
          <w:sz w:val="21"/>
        </w:rPr>
        <w:t xml:space="preserve">（1）系统概述与需求分析；</w:t>
      </w:r>
      <w:r/>
    </w:p>
    <w:p>
      <w:pPr>
        <w:ind w:left="0" w:firstLine="420"/>
        <w:spacing w:line="360" w:lineRule="auto"/>
        <w:rPr>
          <w:rFonts w:ascii="宋体" w:hAnsi="宋体"/>
          <w:sz w:val="21"/>
        </w:rPr>
      </w:pPr>
      <w:r>
        <w:rPr>
          <w:rFonts w:hint="eastAsia" w:ascii="宋体" w:hAnsi="宋体"/>
          <w:sz w:val="21"/>
        </w:rPr>
        <w:t xml:space="preserve">（2）系统结构与系统功能；</w:t>
      </w:r>
      <w:r/>
    </w:p>
    <w:p>
      <w:pPr>
        <w:ind w:left="0" w:firstLine="420"/>
        <w:spacing w:line="360" w:lineRule="auto"/>
        <w:rPr>
          <w:rFonts w:ascii="宋体" w:hAnsi="宋体"/>
          <w:sz w:val="21"/>
        </w:rPr>
      </w:pPr>
      <w:r>
        <w:rPr>
          <w:rFonts w:hint="eastAsia" w:ascii="宋体" w:hAnsi="宋体"/>
          <w:sz w:val="21"/>
        </w:rPr>
        <w:t xml:space="preserve">（3）系统部署等方面。</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上述每项应逐条叙述，内容完整、条理清晰的，每项得2分；内容有一定合理性及可行性的，得1分；叙述内容与采购需求偏差较大或未作完整叙述的，不得分。本项最高得6分。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2.进度计划及质量控制方案比较，根据项目情况提供：</w:t>
      </w:r>
      <w:r/>
    </w:p>
    <w:p>
      <w:pPr>
        <w:ind w:left="0" w:firstLine="420"/>
        <w:spacing w:line="360" w:lineRule="auto"/>
        <w:rPr>
          <w:rFonts w:ascii="宋体" w:hAnsi="宋体"/>
          <w:sz w:val="21"/>
        </w:rPr>
      </w:pPr>
      <w:r>
        <w:rPr>
          <w:rFonts w:hint="eastAsia" w:ascii="宋体" w:hAnsi="宋体"/>
          <w:sz w:val="21"/>
        </w:rPr>
        <w:t xml:space="preserve">（1）项目进度计划</w:t>
      </w:r>
      <w:r/>
    </w:p>
    <w:p>
      <w:pPr>
        <w:ind w:left="0" w:firstLine="420"/>
        <w:spacing w:line="360" w:lineRule="auto"/>
        <w:rPr>
          <w:rFonts w:ascii="宋体" w:hAnsi="宋体"/>
          <w:sz w:val="21"/>
        </w:rPr>
      </w:pPr>
      <w:r>
        <w:rPr>
          <w:rFonts w:hint="eastAsia" w:ascii="宋体" w:hAnsi="宋体"/>
          <w:sz w:val="21"/>
        </w:rPr>
        <w:t xml:space="preserve">（2）质量管理方案</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上述每项应逐条叙述，内容完整、条理清晰的，每项得3分；内容有一定合理性及可行性的，得1.5分；叙述内容与采购需求偏差较大或未作完整叙述的，不得分。本项最高得6分。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（三）售后服务方案（12分）</w:t>
      </w:r>
      <w:r/>
    </w:p>
    <w:p>
      <w:pPr>
        <w:ind w:left="0" w:firstLine="420"/>
        <w:spacing w:line="360" w:lineRule="auto"/>
        <w:rPr>
          <w:rFonts w:ascii="宋体" w:hAnsi="宋体"/>
          <w:sz w:val="21"/>
        </w:rPr>
      </w:pPr>
      <w:r>
        <w:rPr>
          <w:rFonts w:hint="eastAsia" w:ascii="宋体" w:hAnsi="宋体"/>
          <w:sz w:val="21"/>
        </w:rPr>
        <w:t xml:space="preserve">1.售后服务方案比较：</w:t>
      </w:r>
      <w:r/>
    </w:p>
    <w:p>
      <w:pPr>
        <w:ind w:left="0" w:firstLine="420"/>
        <w:spacing w:line="360" w:lineRule="auto"/>
        <w:rPr>
          <w:rFonts w:ascii="宋体" w:hAnsi="宋体"/>
          <w:sz w:val="21"/>
        </w:rPr>
      </w:pPr>
      <w:r>
        <w:rPr>
          <w:rFonts w:hint="eastAsia" w:ascii="宋体" w:hAnsi="宋体"/>
          <w:sz w:val="21"/>
        </w:rPr>
        <w:t xml:space="preserve">（1）售后服务计划及安排方案；</w:t>
      </w:r>
      <w:r/>
    </w:p>
    <w:p>
      <w:pPr>
        <w:ind w:left="0" w:firstLine="420"/>
        <w:spacing w:line="360" w:lineRule="auto"/>
        <w:rPr>
          <w:rFonts w:ascii="宋体" w:hAnsi="宋体"/>
          <w:sz w:val="21"/>
        </w:rPr>
      </w:pPr>
      <w:r>
        <w:rPr>
          <w:rFonts w:hint="eastAsia" w:ascii="宋体" w:hAnsi="宋体"/>
          <w:sz w:val="21"/>
        </w:rPr>
        <w:t xml:space="preserve">（2）质保期内服务响应方案与维护内容及完成度方案；</w:t>
      </w:r>
      <w:r/>
    </w:p>
    <w:p>
      <w:pPr>
        <w:ind w:left="0" w:firstLine="420"/>
        <w:spacing w:line="360" w:lineRule="auto"/>
        <w:rPr>
          <w:rFonts w:ascii="宋体" w:hAnsi="宋体"/>
          <w:sz w:val="21"/>
        </w:rPr>
      </w:pPr>
      <w:r>
        <w:rPr>
          <w:rFonts w:hint="eastAsia" w:ascii="宋体" w:hAnsi="宋体"/>
          <w:sz w:val="21"/>
        </w:rPr>
        <w:t xml:space="preserve">（3）质保期限满后的服务方案。</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上述每项应逐条叙述，内容完整、条理清晰的，每项得2分；内容有一定合理性及可行性的，得1分；叙述内容与采购需求偏差较大或未作完整叙述的，不得分。本项最高得6分。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2.培训计划方案：提供对学校专职工作人员的培训计划方案，包括但不限于</w:t>
      </w:r>
      <w:r/>
    </w:p>
    <w:p>
      <w:pPr>
        <w:ind w:left="0" w:firstLine="420"/>
        <w:spacing w:line="360" w:lineRule="auto"/>
        <w:rPr>
          <w:rFonts w:ascii="宋体" w:hAnsi="宋体"/>
          <w:sz w:val="21"/>
        </w:rPr>
      </w:pPr>
      <w:r>
        <w:rPr>
          <w:rFonts w:hint="eastAsia" w:ascii="宋体" w:hAnsi="宋体"/>
          <w:sz w:val="21"/>
        </w:rPr>
        <w:t xml:space="preserve">（1）培训目标与计划；</w:t>
      </w:r>
      <w:r/>
    </w:p>
    <w:p>
      <w:pPr>
        <w:ind w:left="0" w:firstLine="420"/>
        <w:spacing w:line="360" w:lineRule="auto"/>
        <w:rPr>
          <w:rFonts w:ascii="宋体" w:hAnsi="宋体"/>
          <w:sz w:val="21"/>
        </w:rPr>
      </w:pPr>
      <w:r>
        <w:rPr>
          <w:rFonts w:hint="eastAsia" w:ascii="宋体" w:hAnsi="宋体"/>
          <w:sz w:val="21"/>
        </w:rPr>
        <w:t xml:space="preserve">（2）流程、组织、方式。</w:t>
      </w:r>
      <w:r/>
    </w:p>
    <w:p>
      <w:pPr>
        <w:ind w:left="0" w:firstLine="420"/>
        <w:spacing w:line="360" w:lineRule="auto"/>
        <w:rPr>
          <w:rFonts w:ascii="宋体" w:hAnsi="宋体"/>
          <w:b/>
          <w:bCs/>
          <w:sz w:val="21"/>
          <w:szCs w:val="22"/>
        </w:rPr>
      </w:pPr>
      <w:r>
        <w:rPr>
          <w:rFonts w:hint="eastAsia" w:ascii="宋体" w:hAnsi="宋体"/>
          <w:sz w:val="21"/>
        </w:rPr>
        <w:t xml:space="preserve">上述每项应逐条叙述，内容完整、条理清晰的，每项得3分；内容有一定合理性及可行性的，得1.5分；叙述内容与采购需求偏差较大或未作完整叙述的，不得分。本项最高得6分。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（四） 所投设备技术响应比较（27分）</w:t>
      </w:r>
      <w:r/>
    </w:p>
    <w:p>
      <w:pPr>
        <w:ind w:left="0" w:firstLine="420"/>
        <w:spacing w:line="360" w:lineRule="auto"/>
        <w:rPr>
          <w:rFonts w:ascii="宋体" w:hAnsi="宋体"/>
          <w:b/>
          <w:bCs/>
          <w:sz w:val="21"/>
          <w:szCs w:val="22"/>
        </w:rPr>
      </w:pPr>
      <w:r>
        <w:rPr>
          <w:rFonts w:hint="eastAsia" w:ascii="宋体" w:hAnsi="宋体"/>
          <w:sz w:val="21"/>
        </w:rPr>
        <w:t xml:space="preserve">注“★”的技术指标为重要参数，每满足1项得3分，最高21分；</w:t>
      </w:r>
      <w:bookmarkStart w:id="117" w:name="OLE_LINK82"/>
      <w:r/>
      <w:bookmarkStart w:id="118" w:name="OLE_LINK13"/>
      <w:r/>
      <w:bookmarkStart w:id="119" w:name="OLE_LINK81"/>
      <w:r/>
      <w:bookmarkStart w:id="120" w:name="OLE_LINK14"/>
      <w:r>
        <w:rPr>
          <w:rFonts w:hint="eastAsia" w:ascii="宋体" w:hAnsi="宋体"/>
          <w:sz w:val="21"/>
        </w:rPr>
        <w:t xml:space="preserve">“</w:t>
      </w:r>
      <w:bookmarkStart w:id="121" w:name="OLE_LINK22"/>
      <w:r/>
      <w:bookmarkStart w:id="122" w:name="OLE_LINK17"/>
      <w:r>
        <w:rPr>
          <w:rFonts w:hint="eastAsia" w:ascii="宋体" w:hAnsi="宋体"/>
          <w:sz w:val="21"/>
        </w:rPr>
        <w:t xml:space="preserve">▲</w:t>
      </w:r>
      <w:bookmarkEnd w:id="121"/>
      <w:r/>
      <w:bookmarkEnd w:id="122"/>
      <w:r>
        <w:rPr>
          <w:rFonts w:hint="eastAsia" w:ascii="宋体" w:hAnsi="宋体"/>
          <w:sz w:val="21"/>
        </w:rPr>
        <w:t xml:space="preserve">”</w:t>
      </w:r>
      <w:bookmarkEnd w:id="117"/>
      <w:r/>
      <w:bookmarkEnd w:id="118"/>
      <w:r/>
      <w:bookmarkEnd w:id="119"/>
      <w:r/>
      <w:bookmarkEnd w:id="120"/>
      <w:r>
        <w:rPr>
          <w:rFonts w:hint="eastAsia" w:ascii="宋体" w:hAnsi="宋体"/>
          <w:sz w:val="21"/>
        </w:rPr>
        <w:t xml:space="preserve">的技术指标为次要参数，</w:t>
      </w:r>
      <w:r>
        <w:rPr>
          <w:rFonts w:hint="eastAsia" w:ascii="宋体" w:hAnsi="宋体"/>
          <w:sz w:val="21"/>
          <w:highlight w:val="yellow"/>
        </w:rPr>
        <w:t xml:space="preserve">每满足</w:t>
      </w:r>
      <w:r>
        <w:rPr>
          <w:rFonts w:hint="eastAsia" w:ascii="宋体" w:hAnsi="宋体"/>
          <w:sz w:val="21"/>
        </w:rPr>
        <w:t xml:space="preserve">1项得2分，最高6分。本项最高27分。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w:t>
      </w:r>
      <w:r>
        <w:rPr>
          <w:rFonts w:hint="eastAsia" w:ascii="宋体" w:hAnsi="宋体"/>
          <w:b/>
          <w:bCs/>
          <w:sz w:val="21"/>
          <w:szCs w:val="22"/>
          <w:highlight w:val="none"/>
        </w:rPr>
        <w:t xml:space="preserve">注： “★”和</w:t>
      </w:r>
      <w:r>
        <w:rPr>
          <w:rFonts w:hint="eastAsia" w:ascii="宋体" w:hAnsi="宋体"/>
          <w:b/>
          <w:bCs/>
          <w:sz w:val="21"/>
          <w:highlight w:val="none"/>
        </w:rPr>
        <w:t xml:space="preserve">“▲”</w:t>
      </w:r>
      <w:r>
        <w:rPr>
          <w:rFonts w:hint="eastAsia" w:ascii="宋体" w:hAnsi="宋体"/>
          <w:b/>
          <w:bCs/>
          <w:sz w:val="21"/>
          <w:szCs w:val="22"/>
          <w:highlight w:val="none"/>
        </w:rPr>
        <w:t xml:space="preserve">的技术参数需提</w:t>
      </w:r>
      <w:r>
        <w:rPr>
          <w:rFonts w:hint="eastAsia" w:ascii="宋体" w:hAnsi="宋体"/>
          <w:b/>
          <w:bCs/>
          <w:sz w:val="21"/>
          <w:szCs w:val="22"/>
        </w:rPr>
        <w:t xml:space="preserve">供以下任意一种证明材料并加盖投标单位公章：1.具有国家认可的第三方机构出具的检测报告复印件2.官网截图证明3.技术参数彩页和功能截图。未按要求提供的不得分。）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w:t>
      </w:r>
      <w:r>
        <w:rPr>
          <w:rFonts w:hint="eastAsia" w:hAnsi="宋体"/>
          <w:b/>
          <w:sz w:val="24"/>
          <w:szCs w:val="24"/>
        </w:rPr>
        <w:t xml:space="preserve">履约能力比较（3分）</w:t>
      </w:r>
      <w:r/>
    </w:p>
    <w:p>
      <w:pPr>
        <w:ind w:left="0" w:firstLine="420"/>
        <w:spacing w:line="360" w:lineRule="auto"/>
        <w:rPr>
          <w:rFonts w:ascii="宋体" w:hAnsi="宋体"/>
          <w:sz w:val="21"/>
        </w:rPr>
      </w:pPr>
      <w:r>
        <w:rPr>
          <w:rFonts w:hint="eastAsia" w:ascii="宋体" w:hAnsi="宋体"/>
          <w:sz w:val="21"/>
        </w:rPr>
        <w:t xml:space="preserve">1.投标单位具有有效的质量管理体系认证证书，得1分。</w:t>
      </w:r>
      <w:r/>
    </w:p>
    <w:p>
      <w:pPr>
        <w:ind w:left="0" w:firstLine="420"/>
        <w:spacing w:line="360" w:lineRule="auto"/>
        <w:rPr>
          <w:rFonts w:ascii="宋体" w:hAnsi="宋体"/>
          <w:sz w:val="21"/>
        </w:rPr>
      </w:pPr>
      <w:r>
        <w:rPr>
          <w:rFonts w:hint="eastAsia" w:ascii="宋体" w:hAnsi="宋体"/>
          <w:sz w:val="21"/>
        </w:rPr>
        <w:t xml:space="preserve">2.投标单位具有数字化工艺类、数字化管理平台类软件著作权的，每提供1项软件著作权证书得1分，最高得2分。未提供的不得分。</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（注：投标文件中须提供</w:t>
      </w:r>
      <w:bookmarkStart w:id="123" w:name="OLE_LINK79"/>
      <w:r/>
      <w:bookmarkStart w:id="124" w:name="OLE_LINK80"/>
      <w:r>
        <w:rPr>
          <w:rFonts w:hint="eastAsia" w:ascii="宋体" w:hAnsi="宋体"/>
          <w:b/>
          <w:bCs/>
          <w:sz w:val="21"/>
          <w:szCs w:val="21"/>
        </w:rPr>
        <w:t xml:space="preserve">以上</w:t>
      </w:r>
      <w:bookmarkEnd w:id="123"/>
      <w:r/>
      <w:bookmarkEnd w:id="124"/>
      <w:r>
        <w:rPr>
          <w:rFonts w:hint="eastAsia" w:ascii="宋体" w:hAnsi="宋体"/>
          <w:b/>
          <w:bCs/>
          <w:sz w:val="21"/>
          <w:szCs w:val="21"/>
        </w:rPr>
        <w:t xml:space="preserve">证书有效期内的证书复印件或网络查询截图，并加盖投标单位公章。未按要求提供或未提供不得分。）</w:t>
      </w:r>
      <w:r/>
    </w:p>
    <w:p>
      <w:pPr>
        <w:ind w:left="0" w:firstLine="422"/>
        <w:spacing w:line="360" w:lineRule="auto"/>
        <w:widowControl w:val="off"/>
        <w:rPr>
          <w:rFonts w:ascii="宋体" w:hAnsi="宋体"/>
          <w:b/>
          <w:bCs/>
          <w:sz w:val="21"/>
          <w:szCs w:val="21"/>
        </w:rPr>
      </w:pPr>
      <w:r>
        <w:rPr>
          <w:rFonts w:ascii="宋体" w:hAnsi="宋体"/>
          <w:b/>
          <w:bCs/>
          <w:sz w:val="21"/>
          <w:szCs w:val="21"/>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（六）投标单位类似业绩（6分）</w:t>
      </w:r>
      <w:r/>
    </w:p>
    <w:p>
      <w:pPr>
        <w:ind w:left="0" w:firstLine="420"/>
        <w:spacing w:line="360" w:lineRule="auto"/>
        <w:rPr>
          <w:rFonts w:ascii="宋体" w:hAnsi="宋体"/>
          <w:sz w:val="21"/>
        </w:rPr>
      </w:pPr>
      <w:r>
        <w:rPr>
          <w:rFonts w:hint="eastAsia" w:ascii="宋体" w:hAnsi="宋体"/>
          <w:sz w:val="21"/>
        </w:rPr>
        <w:t xml:space="preserve">投标单位2022年1月1日起至今（需要提供合同的，以合同签订之日起）具有类似项目业绩经验的。每一个得2分，最多得6分。</w:t>
      </w:r>
      <w:r/>
    </w:p>
    <w:p>
      <w:pPr>
        <w:ind w:left="0" w:firstLine="422"/>
        <w:spacing w:line="360" w:lineRule="auto"/>
        <w:rPr>
          <w:rFonts w:ascii="宋体" w:hAnsi="宋体"/>
          <w:sz w:val="21"/>
        </w:rPr>
      </w:pPr>
      <w:r>
        <w:rPr>
          <w:rFonts w:hint="eastAsia" w:ascii="宋体" w:hAnsi="宋体"/>
          <w:b/>
          <w:bCs/>
          <w:sz w:val="21"/>
        </w:rPr>
        <w:t xml:space="preserve">（注：投标文件中需提供合同复印件,至少应包含首页、合同内容页、合同双方盖章页等主要内容，并加盖投标单位公章，不提供不得分。类似业绩日期认定：以签订合同日期为准）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3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6"/>
    <w:uiPriority w:val="11"/>
    <w:rPr>
      <w:sz w:val="24"/>
      <w:szCs w:val="24"/>
    </w:rPr>
  </w:style>
  <w:style w:type="character" w:styleId="855">
    <w:name w:val="Quote Char"/>
    <w:link w:val="1241"/>
    <w:uiPriority w:val="29"/>
    <w:rPr>
      <w:i/>
    </w:rPr>
  </w:style>
  <w:style w:type="character" w:styleId="856">
    <w:name w:val="Intense Quote Char"/>
    <w:link w:val="1367"/>
    <w:uiPriority w:val="30"/>
    <w:rPr>
      <w:i/>
    </w:rPr>
  </w:style>
  <w:style w:type="character" w:styleId="857">
    <w:name w:val="Header Char"/>
    <w:basedOn w:val="1000"/>
    <w:link w:val="1034"/>
    <w:uiPriority w:val="99"/>
  </w:style>
  <w:style w:type="character" w:styleId="858">
    <w:name w:val="Footer Char"/>
    <w:basedOn w:val="1000"/>
    <w:link w:val="1032"/>
    <w:uiPriority w:val="99"/>
  </w:style>
  <w:style w:type="character" w:styleId="859">
    <w:name w:val="Caption Char"/>
    <w:basedOn w:val="1008"/>
    <w:link w:val="1032"/>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9"/>
    <w:uiPriority w:val="99"/>
    <w:rPr>
      <w:sz w:val="18"/>
    </w:rPr>
  </w:style>
  <w:style w:type="character" w:styleId="986">
    <w:name w:val="Endnote Text Char"/>
    <w:link w:val="1029"/>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uiPriority w:val="0"/>
    <w:qFormat/>
    <w:pPr>
      <w:ind w:left="1024"/>
      <w:jc w:val="both"/>
    </w:pPr>
    <w:rPr>
      <w:rFonts w:ascii="Calibri" w:hAnsi="Calibri" w:eastAsia="宋体" w:cs="宋体"/>
      <w:lang w:val="en-US" w:eastAsia="zh-CN" w:bidi="ar-SA"/>
    </w:rPr>
  </w:style>
  <w:style w:type="paragraph" w:styleId="991">
    <w:name w:val="Heading 1"/>
    <w:basedOn w:val="990"/>
    <w:next w:val="990"/>
    <w:uiPriority w:val="0"/>
    <w:qFormat/>
    <w:pPr>
      <w:ind w:left="432" w:firstLine="18"/>
      <w:spacing w:before="340" w:after="330" w:line="578" w:lineRule="auto"/>
      <w:outlineLvl w:val="0"/>
    </w:pPr>
  </w:style>
  <w:style w:type="paragraph" w:styleId="992">
    <w:name w:val="Heading 2"/>
    <w:basedOn w:val="990"/>
    <w:next w:val="990"/>
    <w:uiPriority w:val="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2"/>
    <w:uiPriority w:val="0"/>
    <w:qFormat/>
    <w:pPr>
      <w:ind w:left="720"/>
      <w:spacing w:before="260" w:after="260" w:line="416" w:lineRule="auto"/>
      <w:outlineLvl w:val="2"/>
    </w:pPr>
    <w:rPr>
      <w:rFonts w:ascii="Times New Roman" w:hAnsi="Times New Roman" w:cs="Times New Roman"/>
    </w:rPr>
  </w:style>
  <w:style w:type="paragraph" w:styleId="994">
    <w:name w:val="Heading 4"/>
    <w:basedOn w:val="991"/>
    <w:next w:val="990"/>
    <w:uiPriority w:val="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uiPriority w:val="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uiPriority w:val="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uiPriority w:val="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uiPriority w:val="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uiPriority w:val="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customStyle="1">
    <w:name w:val="正文2"/>
    <w:basedOn w:val="990"/>
    <w:next w:val="990"/>
    <w:uiPriority w:val="0"/>
    <w:qFormat/>
    <w:pPr>
      <w:ind w:left="0" w:hanging="2155"/>
      <w:spacing w:line="360" w:lineRule="auto"/>
      <w:shd w:val="clear" w:color="auto" w:fill="ffffff"/>
    </w:pPr>
    <w:rPr>
      <w:rFonts w:ascii="宋体" w:hAnsi="宋体"/>
    </w:rPr>
  </w:style>
  <w:style w:type="paragraph" w:styleId="1003">
    <w:name w:val="toc 7"/>
    <w:basedOn w:val="991"/>
    <w:next w:val="990"/>
    <w:uiPriority w:val="0"/>
    <w:qFormat/>
    <w:pPr>
      <w:ind w:left="1640" w:firstLine="3784"/>
      <w:spacing w:before="0" w:after="0" w:line="360" w:lineRule="auto"/>
    </w:pPr>
    <w:rPr>
      <w:rFonts w:ascii="Times New Roman" w:hAnsi="Times New Roman" w:cs="Times New Roman"/>
    </w:rPr>
  </w:style>
  <w:style w:type="paragraph" w:styleId="1004">
    <w:name w:val="List Bullet 4"/>
    <w:basedOn w:val="991"/>
    <w:next w:val="1005"/>
    <w:uiPriority w:val="0"/>
    <w:qFormat/>
    <w:pPr>
      <w:ind w:left="1620" w:firstLine="2652"/>
      <w:spacing w:before="0" w:after="0" w:line="360" w:lineRule="auto"/>
    </w:pPr>
    <w:rPr>
      <w:rFonts w:ascii="Times New Roman" w:hAnsi="Times New Roman" w:cs="Times New Roman"/>
    </w:rPr>
  </w:style>
  <w:style w:type="paragraph" w:styleId="1005">
    <w:name w:val="List Bullet 2"/>
    <w:basedOn w:val="991"/>
    <w:next w:val="990"/>
    <w:uiPriority w:val="0"/>
    <w:qFormat/>
    <w:pPr>
      <w:ind w:left="900" w:firstLine="2652"/>
      <w:spacing w:before="0" w:after="0" w:line="360" w:lineRule="auto"/>
    </w:pPr>
    <w:rPr>
      <w:rFonts w:ascii="Times New Roman" w:hAnsi="Times New Roman" w:cs="Times New Roman"/>
    </w:rPr>
  </w:style>
  <w:style w:type="paragraph" w:styleId="1006">
    <w:name w:val="List Number"/>
    <w:basedOn w:val="991"/>
    <w:next w:val="990"/>
    <w:uiPriority w:val="0"/>
    <w:qFormat/>
    <w:pPr>
      <w:ind w:left="454" w:firstLine="2788"/>
      <w:spacing w:before="0" w:after="0" w:line="240" w:lineRule="auto"/>
    </w:pPr>
    <w:rPr>
      <w:rFonts w:ascii="Times New Roman" w:hAnsi="Times New Roman" w:cs="Times New Roman"/>
    </w:rPr>
  </w:style>
  <w:style w:type="paragraph" w:styleId="1007">
    <w:name w:val="Normal Indent"/>
    <w:basedOn w:val="990"/>
    <w:next w:val="990"/>
    <w:link w:val="1058"/>
    <w:uiPriority w:val="0"/>
    <w:qFormat/>
    <w:pPr>
      <w:ind w:left="420" w:firstLine="4772"/>
    </w:pPr>
  </w:style>
  <w:style w:type="paragraph" w:styleId="1008">
    <w:name w:val="Caption"/>
    <w:basedOn w:val="991"/>
    <w:next w:val="990"/>
    <w:uiPriority w:val="0"/>
    <w:qFormat/>
    <w:pPr>
      <w:ind w:left="200" w:firstLine="2248"/>
      <w:jc w:val="center"/>
      <w:spacing w:before="0" w:after="0" w:line="240" w:lineRule="auto"/>
    </w:pPr>
    <w:rPr>
      <w:rFonts w:ascii="Times New Roman" w:hAnsi="Times New Roman" w:cs="Times New Roman"/>
    </w:rPr>
  </w:style>
  <w:style w:type="paragraph" w:styleId="1009">
    <w:name w:val="List Bullet"/>
    <w:basedOn w:val="991"/>
    <w:next w:val="990"/>
    <w:uiPriority w:val="0"/>
    <w:qFormat/>
    <w:pPr>
      <w:ind w:left="900" w:firstLine="2652"/>
      <w:spacing w:before="0" w:after="0" w:line="360" w:lineRule="auto"/>
    </w:pPr>
    <w:rPr>
      <w:rFonts w:ascii="Times New Roman" w:hAnsi="Times New Roman" w:cs="Times New Roman"/>
    </w:rPr>
  </w:style>
  <w:style w:type="paragraph" w:styleId="1010">
    <w:name w:val="Document Map"/>
    <w:basedOn w:val="991"/>
    <w:next w:val="1011"/>
    <w:uiPriority w:val="0"/>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90"/>
    <w:uiPriority w:val="0"/>
    <w:qFormat/>
    <w:pPr>
      <w:ind w:firstLine="4608"/>
      <w:spacing w:line="360" w:lineRule="auto"/>
    </w:pPr>
    <w:rPr>
      <w:rFonts w:ascii="Calibri" w:hAnsi="Calibri" w:eastAsia="宋体" w:cs="宋体"/>
      <w:lang w:val="en-US" w:eastAsia="zh-CN" w:bidi="ar-SA"/>
    </w:rPr>
  </w:style>
  <w:style w:type="paragraph" w:styleId="1012">
    <w:name w:val="annotation text"/>
    <w:basedOn w:val="991"/>
    <w:next w:val="990"/>
    <w:uiPriority w:val="0"/>
    <w:qFormat/>
    <w:pPr>
      <w:ind w:left="0" w:firstLine="3584"/>
      <w:spacing w:before="0" w:after="0" w:line="360" w:lineRule="auto"/>
    </w:pPr>
    <w:rPr>
      <w:rFonts w:ascii="Times New Roman" w:hAnsi="Times New Roman" w:cs="Times New Roman"/>
    </w:rPr>
  </w:style>
  <w:style w:type="paragraph" w:styleId="1013">
    <w:name w:val="Body Text 3"/>
    <w:basedOn w:val="991"/>
    <w:next w:val="990"/>
    <w:uiPriority w:val="0"/>
    <w:qFormat/>
    <w:pPr>
      <w:ind w:left="0" w:firstLine="2048"/>
      <w:spacing w:before="0" w:after="0" w:line="500" w:lineRule="exact"/>
    </w:pPr>
    <w:rPr>
      <w:rFonts w:ascii="Times New Roman" w:hAnsi="Times New Roman" w:cs="Times New Roman"/>
    </w:rPr>
  </w:style>
  <w:style w:type="paragraph" w:styleId="1014">
    <w:name w:val="List Bullet 3"/>
    <w:basedOn w:val="991"/>
    <w:next w:val="990"/>
    <w:uiPriority w:val="0"/>
    <w:qFormat/>
    <w:pPr>
      <w:ind w:left="900" w:firstLine="2652"/>
      <w:spacing w:before="0" w:after="0" w:line="360" w:lineRule="auto"/>
    </w:pPr>
    <w:rPr>
      <w:rFonts w:ascii="Times New Roman" w:hAnsi="Times New Roman" w:cs="Times New Roman"/>
    </w:rPr>
  </w:style>
  <w:style w:type="paragraph" w:styleId="1015">
    <w:name w:val="Body Text"/>
    <w:basedOn w:val="990"/>
    <w:next w:val="990"/>
    <w:uiPriority w:val="0"/>
    <w:qFormat/>
    <w:pPr>
      <w:ind w:left="0" w:firstLine="2560"/>
    </w:pPr>
    <w:rPr>
      <w:rFonts w:ascii="Times New Roman" w:hAnsi="Times New Roman" w:cs="Times New Roman"/>
    </w:rPr>
  </w:style>
  <w:style w:type="paragraph" w:styleId="1016">
    <w:name w:val="Body Text Indent"/>
    <w:basedOn w:val="990"/>
    <w:next w:val="990"/>
    <w:uiPriority w:val="0"/>
    <w:qFormat/>
    <w:pPr>
      <w:ind w:left="420" w:firstLine="1188"/>
      <w:spacing w:line="360" w:lineRule="exact"/>
    </w:pPr>
    <w:rPr>
      <w:rFonts w:ascii="Times New Roman" w:hAnsi="Times New Roman" w:cs="Times New Roman"/>
    </w:rPr>
  </w:style>
  <w:style w:type="paragraph" w:styleId="1017">
    <w:name w:val="List Number 3"/>
    <w:basedOn w:val="991"/>
    <w:next w:val="990"/>
    <w:uiPriority w:val="0"/>
    <w:qFormat/>
    <w:pPr>
      <w:ind w:left="420" w:firstLine="3584"/>
      <w:spacing w:before="0" w:after="0" w:line="240" w:lineRule="auto"/>
    </w:pPr>
    <w:rPr>
      <w:rFonts w:ascii="Times New Roman" w:hAnsi="Times New Roman" w:cs="Times New Roman"/>
    </w:rPr>
  </w:style>
  <w:style w:type="paragraph" w:styleId="1018">
    <w:name w:val="List 2"/>
    <w:basedOn w:val="991"/>
    <w:next w:val="1003"/>
    <w:uiPriority w:val="0"/>
    <w:qFormat/>
    <w:pPr>
      <w:ind w:left="100" w:firstLine="3640"/>
      <w:spacing w:before="0" w:after="0" w:line="240" w:lineRule="auto"/>
    </w:pPr>
    <w:rPr>
      <w:rFonts w:ascii="Times New Roman" w:hAnsi="Times New Roman" w:cs="Times New Roman"/>
    </w:rPr>
  </w:style>
  <w:style w:type="paragraph" w:styleId="1019">
    <w:name w:val="Block Text"/>
    <w:basedOn w:val="991"/>
    <w:next w:val="990"/>
    <w:uiPriority w:val="0"/>
    <w:qFormat/>
    <w:pPr>
      <w:ind w:left="420" w:right="33" w:firstLine="2560"/>
      <w:spacing w:before="0" w:after="0" w:line="240" w:lineRule="auto"/>
    </w:pPr>
    <w:rPr>
      <w:rFonts w:ascii="Times New Roman" w:hAnsi="Times New Roman" w:cs="Times New Roman"/>
    </w:rPr>
  </w:style>
  <w:style w:type="paragraph" w:styleId="1020">
    <w:name w:val="toc 5"/>
    <w:basedOn w:val="991"/>
    <w:next w:val="990"/>
    <w:uiPriority w:val="0"/>
    <w:qFormat/>
    <w:pPr>
      <w:ind w:left="1160" w:firstLine="3784"/>
      <w:spacing w:before="0" w:after="0" w:line="360" w:lineRule="auto"/>
    </w:pPr>
    <w:rPr>
      <w:rFonts w:ascii="Times New Roman" w:hAnsi="Times New Roman" w:cs="Times New Roman"/>
    </w:rPr>
  </w:style>
  <w:style w:type="paragraph" w:styleId="1021">
    <w:name w:val="toc 3"/>
    <w:basedOn w:val="991"/>
    <w:next w:val="990"/>
    <w:uiPriority w:val="0"/>
    <w:qFormat/>
    <w:pPr>
      <w:ind w:left="0" w:firstLine="1024"/>
      <w:spacing w:before="0" w:after="0" w:line="360" w:lineRule="auto"/>
    </w:pPr>
    <w:rPr>
      <w:rFonts w:ascii="Times New Roman" w:hAnsi="Times New Roman" w:cs="Times New Roman"/>
    </w:rPr>
  </w:style>
  <w:style w:type="paragraph" w:styleId="1022">
    <w:name w:val="Plain Text"/>
    <w:basedOn w:val="991"/>
    <w:next w:val="1023"/>
    <w:uiPriority w:val="0"/>
    <w:qFormat/>
    <w:pPr>
      <w:ind w:left="0" w:firstLine="2048"/>
      <w:spacing w:before="0" w:after="0" w:line="240" w:lineRule="auto"/>
    </w:pPr>
    <w:rPr>
      <w:rFonts w:ascii="Times New Roman" w:hAnsi="Times New Roman" w:cs="Times New Roman"/>
    </w:rPr>
  </w:style>
  <w:style w:type="paragraph" w:styleId="1023">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4">
    <w:name w:val="List Bullet 5"/>
    <w:basedOn w:val="991"/>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1"/>
    <w:next w:val="990"/>
    <w:uiPriority w:val="0"/>
    <w:qFormat/>
    <w:pPr>
      <w:ind w:left="1880" w:firstLine="3784"/>
      <w:spacing w:before="0" w:after="0" w:line="360" w:lineRule="auto"/>
    </w:pPr>
    <w:rPr>
      <w:rFonts w:ascii="Times New Roman" w:hAnsi="Times New Roman" w:cs="Times New Roman"/>
    </w:rPr>
  </w:style>
  <w:style w:type="paragraph" w:styleId="1027">
    <w:name w:val="Date"/>
    <w:basedOn w:val="991"/>
    <w:next w:val="990"/>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1"/>
    <w:next w:val="1016"/>
    <w:uiPriority w:val="0"/>
    <w:qFormat/>
    <w:pPr>
      <w:ind w:left="481" w:firstLine="2784"/>
      <w:spacing w:before="0" w:after="0" w:line="400" w:lineRule="exact"/>
    </w:pPr>
    <w:rPr>
      <w:rFonts w:ascii="Times New Roman" w:hAnsi="Times New Roman" w:cs="Times New Roman"/>
    </w:rPr>
  </w:style>
  <w:style w:type="paragraph" w:styleId="1029">
    <w:name w:val="endnote text"/>
    <w:basedOn w:val="991"/>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1"/>
    <w:next w:val="990"/>
    <w:uiPriority w:val="0"/>
    <w:qFormat/>
    <w:pPr>
      <w:ind w:left="0" w:firstLine="3584"/>
      <w:spacing w:before="0" w:after="0" w:line="240" w:lineRule="auto"/>
    </w:pPr>
    <w:rPr>
      <w:rFonts w:ascii="Times New Roman" w:hAnsi="Times New Roman" w:cs="Times New Roman"/>
    </w:rPr>
  </w:style>
  <w:style w:type="paragraph" w:styleId="1031">
    <w:name w:val="Balloon Text"/>
    <w:basedOn w:val="991"/>
    <w:next w:val="1006"/>
    <w:uiPriority w:val="0"/>
    <w:qFormat/>
    <w:pPr>
      <w:ind w:left="0" w:firstLine="2048"/>
      <w:spacing w:before="0" w:after="0" w:line="240" w:lineRule="auto"/>
    </w:pPr>
    <w:rPr>
      <w:rFonts w:ascii="Times New Roman" w:hAnsi="Times New Roman" w:cs="Times New Roman"/>
    </w:rPr>
  </w:style>
  <w:style w:type="paragraph" w:styleId="1032">
    <w:name w:val="Footer"/>
    <w:basedOn w:val="990"/>
    <w:next w:val="1033"/>
    <w:link w:val="1059"/>
    <w:uiPriority w:val="0"/>
    <w:qFormat/>
    <w:pPr>
      <w:ind w:left="0" w:firstLine="3584"/>
    </w:pPr>
  </w:style>
  <w:style w:type="paragraph" w:styleId="1033" w:customStyle="1">
    <w:name w:val="Char Char Char Char Char Char Char Char Char Char Char Char Char"/>
    <w:basedOn w:val="991"/>
    <w:next w:val="990"/>
    <w:uiPriority w:val="0"/>
    <w:qFormat/>
    <w:pPr>
      <w:ind w:left="0" w:firstLine="3584"/>
      <w:spacing w:before="0" w:after="160" w:line="240" w:lineRule="exact"/>
    </w:pPr>
    <w:rPr>
      <w:rFonts w:ascii="Times New Roman" w:hAnsi="Times New Roman" w:cs="Times New Roman"/>
    </w:rPr>
  </w:style>
  <w:style w:type="paragraph" w:styleId="1034">
    <w:name w:val="Header"/>
    <w:basedOn w:val="991"/>
    <w:next w:val="1027"/>
    <w:link w:val="1060"/>
    <w:uiPriority w:val="0"/>
    <w:qFormat/>
    <w:pPr>
      <w:ind w:left="0" w:firstLine="3584"/>
      <w:jc w:val="center"/>
      <w:spacing w:before="0" w:after="0" w:line="240" w:lineRule="auto"/>
    </w:pPr>
  </w:style>
  <w:style w:type="paragraph" w:styleId="1035">
    <w:name w:val="toc 4"/>
    <w:basedOn w:val="991"/>
    <w:next w:val="990"/>
    <w:uiPriority w:val="0"/>
    <w:qFormat/>
    <w:pPr>
      <w:ind w:left="1260" w:firstLine="1024"/>
      <w:spacing w:before="0" w:after="0" w:line="240" w:lineRule="auto"/>
    </w:pPr>
    <w:rPr>
      <w:rFonts w:ascii="Times New Roman" w:hAnsi="Times New Roman" w:cs="Times New Roman"/>
    </w:rPr>
  </w:style>
  <w:style w:type="paragraph" w:styleId="1036">
    <w:name w:val="Subtitle"/>
    <w:next w:val="990"/>
    <w:uiPriority w:val="0"/>
    <w:qFormat/>
    <w:pPr>
      <w:ind w:left="1024"/>
      <w:jc w:val="center"/>
      <w:spacing w:after="60"/>
    </w:pPr>
    <w:rPr>
      <w:rFonts w:ascii="Calibri" w:hAnsi="Calibri" w:eastAsia="宋体" w:cs="宋体"/>
      <w:lang w:val="en-US" w:eastAsia="zh-CN" w:bidi="ar-SA"/>
    </w:rPr>
  </w:style>
  <w:style w:type="paragraph" w:styleId="1037">
    <w:name w:val="List"/>
    <w:basedOn w:val="991"/>
    <w:next w:val="1038"/>
    <w:uiPriority w:val="0"/>
    <w:qFormat/>
    <w:pPr>
      <w:ind w:left="200" w:firstLine="3640"/>
      <w:spacing w:before="0" w:after="0" w:line="240" w:lineRule="auto"/>
    </w:pPr>
    <w:rPr>
      <w:rFonts w:ascii="Times New Roman" w:hAnsi="Times New Roman" w:cs="Times New Roman"/>
    </w:rPr>
  </w:style>
  <w:style w:type="paragraph" w:styleId="1038">
    <w:name w:val="Body Text First Indent"/>
    <w:next w:val="990"/>
    <w:uiPriority w:val="0"/>
    <w:qFormat/>
    <w:pPr>
      <w:ind w:left="420" w:firstLine="3748"/>
      <w:spacing w:after="120"/>
    </w:pPr>
    <w:rPr>
      <w:rFonts w:ascii="Calibri" w:hAnsi="Calibri" w:eastAsia="宋体" w:cs="宋体"/>
      <w:lang w:val="en-US" w:eastAsia="zh-CN" w:bidi="ar-SA"/>
    </w:rPr>
  </w:style>
  <w:style w:type="paragraph" w:styleId="1039">
    <w:name w:val="footnote text"/>
    <w:basedOn w:val="991"/>
    <w:next w:val="1019"/>
    <w:uiPriority w:val="0"/>
    <w:qFormat/>
    <w:pPr>
      <w:ind w:left="0" w:firstLine="3584"/>
      <w:spacing w:before="0" w:after="0" w:line="360" w:lineRule="auto"/>
    </w:pPr>
    <w:rPr>
      <w:rFonts w:ascii="Times New Roman" w:hAnsi="Times New Roman" w:cs="Times New Roman"/>
    </w:rPr>
  </w:style>
  <w:style w:type="paragraph" w:styleId="1040">
    <w:name w:val="toc 6"/>
    <w:basedOn w:val="991"/>
    <w:next w:val="990"/>
    <w:uiPriority w:val="0"/>
    <w:qFormat/>
    <w:pPr>
      <w:ind w:left="1400" w:firstLine="3784"/>
      <w:spacing w:before="0" w:after="0" w:line="360" w:lineRule="auto"/>
    </w:pPr>
    <w:rPr>
      <w:rFonts w:ascii="Times New Roman" w:hAnsi="Times New Roman" w:cs="Times New Roman"/>
    </w:rPr>
  </w:style>
  <w:style w:type="paragraph" w:styleId="1041">
    <w:name w:val="List 5"/>
    <w:basedOn w:val="991"/>
    <w:next w:val="1015"/>
    <w:uiPriority w:val="0"/>
    <w:qFormat/>
    <w:pPr>
      <w:ind w:left="2100" w:firstLine="3676"/>
      <w:spacing w:before="0" w:after="0" w:line="240" w:lineRule="auto"/>
    </w:pPr>
    <w:rPr>
      <w:rFonts w:ascii="Times New Roman" w:hAnsi="Times New Roman" w:cs="Times New Roman"/>
    </w:rPr>
  </w:style>
  <w:style w:type="paragraph" w:styleId="1042">
    <w:name w:val="Body Text Indent 3"/>
    <w:basedOn w:val="991"/>
    <w:next w:val="1040"/>
    <w:uiPriority w:val="0"/>
    <w:qFormat/>
    <w:pPr>
      <w:ind w:left="480" w:firstLine="2784"/>
      <w:spacing w:before="0" w:after="0" w:line="400" w:lineRule="exact"/>
    </w:pPr>
    <w:rPr>
      <w:rFonts w:ascii="Times New Roman" w:hAnsi="Times New Roman" w:cs="Times New Roman"/>
    </w:rPr>
  </w:style>
  <w:style w:type="paragraph" w:styleId="1043">
    <w:name w:val="toc 2"/>
    <w:basedOn w:val="991"/>
    <w:next w:val="990"/>
    <w:uiPriority w:val="0"/>
    <w:qFormat/>
    <w:pPr>
      <w:ind w:left="0" w:firstLine="1024"/>
      <w:spacing w:before="0" w:after="0" w:line="360" w:lineRule="auto"/>
    </w:pPr>
    <w:rPr>
      <w:rFonts w:ascii="Times New Roman" w:hAnsi="Times New Roman" w:cs="Times New Roman"/>
    </w:rPr>
  </w:style>
  <w:style w:type="paragraph" w:styleId="1044">
    <w:name w:val="toc 9"/>
    <w:basedOn w:val="991"/>
    <w:next w:val="990"/>
    <w:uiPriority w:val="0"/>
    <w:qFormat/>
    <w:pPr>
      <w:ind w:left="2120" w:firstLine="3784"/>
      <w:spacing w:before="0" w:after="0" w:line="360" w:lineRule="auto"/>
    </w:pPr>
    <w:rPr>
      <w:rFonts w:ascii="Times New Roman" w:hAnsi="Times New Roman" w:cs="Times New Roman"/>
    </w:rPr>
  </w:style>
  <w:style w:type="paragraph" w:styleId="1045">
    <w:name w:val="Body Text 2"/>
    <w:basedOn w:val="991"/>
    <w:next w:val="1009"/>
    <w:uiPriority w:val="0"/>
    <w:qFormat/>
    <w:pPr>
      <w:ind w:left="0" w:firstLine="1024"/>
      <w:spacing w:before="0" w:after="120" w:line="480" w:lineRule="auto"/>
    </w:pPr>
    <w:rPr>
      <w:rFonts w:ascii="Times New Roman" w:hAnsi="Times New Roman" w:cs="Times New Roman"/>
    </w:rPr>
  </w:style>
  <w:style w:type="paragraph" w:styleId="1046">
    <w:name w:val="HTML Preformatted"/>
    <w:basedOn w:val="991"/>
    <w:next w:val="1008"/>
    <w:uiPriority w:val="0"/>
    <w:qFormat/>
    <w:pPr>
      <w:ind w:left="0" w:firstLine="2048"/>
      <w:spacing w:before="0" w:after="0" w:line="253" w:lineRule="atLeast"/>
    </w:pPr>
    <w:rPr>
      <w:rFonts w:ascii="Times New Roman" w:hAnsi="Times New Roman" w:cs="Times New Roman"/>
    </w:rPr>
  </w:style>
  <w:style w:type="paragraph" w:styleId="1047">
    <w:name w:val="Normal (Web)"/>
    <w:basedOn w:val="990"/>
    <w:next w:val="1018"/>
    <w:uiPriority w:val="0"/>
    <w:qFormat/>
    <w:pPr>
      <w:ind w:left="15" w:right="15" w:firstLine="4608"/>
      <w:spacing w:before="60" w:after="60" w:line="312" w:lineRule="auto"/>
    </w:pPr>
    <w:rPr>
      <w:rFonts w:ascii="Times New Roman" w:hAnsi="Times New Roman" w:cs="Times New Roman"/>
    </w:rPr>
  </w:style>
  <w:style w:type="paragraph" w:styleId="1048">
    <w:name w:val="index 1"/>
    <w:basedOn w:val="991"/>
    <w:next w:val="990"/>
    <w:uiPriority w:val="0"/>
    <w:qFormat/>
    <w:pPr>
      <w:ind w:left="0" w:firstLine="3584"/>
      <w:spacing w:before="0" w:after="0" w:line="240" w:lineRule="auto"/>
    </w:pPr>
    <w:rPr>
      <w:rFonts w:ascii="Times New Roman" w:hAnsi="Times New Roman" w:cs="Times New Roman"/>
    </w:rPr>
  </w:style>
  <w:style w:type="paragraph" w:styleId="1049">
    <w:name w:val="Body Text First Indent 2"/>
    <w:basedOn w:val="1016"/>
    <w:uiPriority w:val="0"/>
    <w:unhideWhenUsed/>
    <w:qFormat/>
    <w:pPr>
      <w:ind w:firstLine="420"/>
    </w:pPr>
  </w:style>
  <w:style w:type="table" w:styleId="10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uiPriority w:val="0"/>
    <w:qFormat/>
    <w:rPr>
      <w:rFonts w:ascii="Times New Roman" w:hAnsi="Times New Roman" w:eastAsia="宋体" w:cs="Times New Roman"/>
      <w:b/>
      <w:sz w:val="20"/>
    </w:rPr>
  </w:style>
  <w:style w:type="character" w:styleId="1052">
    <w:name w:val="page number"/>
    <w:uiPriority w:val="0"/>
    <w:qFormat/>
    <w:rPr>
      <w:rFonts w:ascii="Times New Roman" w:hAnsi="Times New Roman" w:eastAsia="宋体" w:cs="Times New Roman"/>
      <w:sz w:val="20"/>
    </w:rPr>
  </w:style>
  <w:style w:type="character" w:styleId="1053">
    <w:name w:val="FollowedHyperlink"/>
    <w:uiPriority w:val="0"/>
    <w:qFormat/>
    <w:rPr>
      <w:rFonts w:ascii="Times New Roman" w:hAnsi="Times New Roman" w:eastAsia="宋体" w:cs="Times New Roman"/>
      <w:color w:val="800080"/>
      <w:sz w:val="20"/>
      <w:u w:val="single"/>
    </w:rPr>
  </w:style>
  <w:style w:type="character" w:styleId="1054">
    <w:name w:val="Emphasis"/>
    <w:uiPriority w:val="0"/>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uiPriority w:val="0"/>
    <w:qFormat/>
    <w:rPr>
      <w:rFonts w:ascii="Times New Roman" w:hAnsi="Times New Roman" w:eastAsia="宋体" w:cs="Times New Roman"/>
      <w:sz w:val="20"/>
    </w:rPr>
  </w:style>
  <w:style w:type="character" w:styleId="1057">
    <w:name w:val="footnote reference"/>
    <w:uiPriority w:val="0"/>
    <w:qFormat/>
    <w:rPr>
      <w:rFonts w:ascii="Times New Roman" w:hAnsi="Times New Roman" w:eastAsia="宋体" w:cs="Times New Roman"/>
      <w:vertAlign w:val="superscript"/>
    </w:rPr>
  </w:style>
  <w:style w:type="character" w:styleId="1058" w:customStyle="1">
    <w:name w:val="正文缩进 字符"/>
    <w:link w:val="1007"/>
    <w:uiPriority w:val="0"/>
    <w:qFormat/>
    <w:rPr>
      <w:rFonts w:ascii="Calibri" w:hAnsi="Calibri" w:eastAsia="宋体" w:cs="Times New Roman"/>
    </w:rPr>
  </w:style>
  <w:style w:type="character" w:styleId="1059" w:customStyle="1">
    <w:name w:val="页脚 字符"/>
    <w:link w:val="1032"/>
    <w:uiPriority w:val="0"/>
    <w:qFormat/>
    <w:rPr>
      <w:rFonts w:ascii="Calibri" w:hAnsi="Calibri" w:eastAsia="宋体" w:cs="Times New Roman"/>
    </w:rPr>
  </w:style>
  <w:style w:type="character" w:styleId="1060" w:customStyle="1">
    <w:name w:val="页眉 字符"/>
    <w:link w:val="1034"/>
    <w:uiPriority w:val="0"/>
    <w:qFormat/>
    <w:rPr>
      <w:rFonts w:ascii="Calibri" w:hAnsi="Calibri" w:eastAsia="宋体" w:cs="Times New Roman"/>
    </w:rPr>
  </w:style>
  <w:style w:type="character" w:styleId="1061" w:customStyle="1">
    <w:name w:val="日期 Char"/>
    <w:uiPriority w:val="0"/>
    <w:qFormat/>
    <w:rPr>
      <w:rFonts w:ascii="Times New Roman" w:hAnsi="Times New Roman" w:eastAsia="宋体" w:cs="Times New Roman"/>
      <w:sz w:val="20"/>
    </w:rPr>
  </w:style>
  <w:style w:type="character" w:styleId="1062" w:customStyle="1">
    <w:name w:val="批注引用1"/>
    <w:uiPriority w:val="0"/>
    <w:qFormat/>
    <w:rPr>
      <w:rFonts w:ascii="Times New Roman" w:hAnsi="Times New Roman" w:eastAsia="宋体" w:cs="Times New Roman"/>
      <w:sz w:val="20"/>
    </w:rPr>
  </w:style>
  <w:style w:type="character" w:styleId="1063" w:customStyle="1">
    <w:name w:val="应答文本 Char Char"/>
    <w:uiPriority w:val="0"/>
    <w:qFormat/>
    <w:rPr>
      <w:rFonts w:ascii="Times New Roman" w:hAnsi="Times New Roman" w:eastAsia="宋体" w:cs="Times New Roman"/>
      <w:sz w:val="20"/>
    </w:rPr>
  </w:style>
  <w:style w:type="character" w:styleId="1064" w:customStyle="1">
    <w:name w:val="图片0 Char Char"/>
    <w:uiPriority w:val="0"/>
    <w:qFormat/>
    <w:rPr>
      <w:rFonts w:ascii="Times New Roman" w:hAnsi="Times New Roman" w:eastAsia="宋体" w:cs="Times New Roman"/>
      <w:sz w:val="20"/>
    </w:rPr>
  </w:style>
  <w:style w:type="character" w:styleId="1065" w:customStyle="1">
    <w:name w:val="尾注文本 Char"/>
    <w:uiPriority w:val="0"/>
    <w:qFormat/>
    <w:rPr>
      <w:rFonts w:ascii="Times New Roman" w:hAnsi="Times New Roman" w:eastAsia="宋体" w:cs="Times New Roman"/>
      <w:sz w:val="20"/>
    </w:rPr>
  </w:style>
  <w:style w:type="character" w:styleId="1066" w:customStyle="1">
    <w:name w:val="文档结构图 字符"/>
    <w:uiPriority w:val="0"/>
    <w:qFormat/>
    <w:rPr>
      <w:rFonts w:ascii="Microsoft YaHei UI" w:hAnsi="Times New Roman" w:eastAsia="Microsoft YaHei UI" w:cs="Times New Roman"/>
      <w:sz w:val="18"/>
      <w:szCs w:val="18"/>
    </w:rPr>
  </w:style>
  <w:style w:type="character" w:styleId="1067" w:customStyle="1">
    <w:name w:val="_Style 337"/>
    <w:uiPriority w:val="0"/>
    <w:qFormat/>
    <w:rPr>
      <w:rFonts w:ascii="Times New Roman" w:hAnsi="Times New Roman" w:eastAsia="宋体" w:cs="Times New Roman"/>
      <w:color w:val="auto"/>
      <w:sz w:val="21"/>
    </w:rPr>
  </w:style>
  <w:style w:type="character" w:styleId="1068" w:customStyle="1">
    <w:name w:val="正文文本 字符"/>
    <w:uiPriority w:val="0"/>
    <w:qFormat/>
    <w:rPr>
      <w:rFonts w:ascii="Times New Roman" w:hAnsi="Times New Roman" w:eastAsia="宋体" w:cs="Times New Roman"/>
      <w:sz w:val="21"/>
    </w:rPr>
  </w:style>
  <w:style w:type="character" w:styleId="1069" w:customStyle="1">
    <w:name w:val="批注文字 字符"/>
    <w:uiPriority w:val="0"/>
    <w:qFormat/>
    <w:rPr>
      <w:rFonts w:ascii="Times New Roman" w:hAnsi="Times New Roman" w:eastAsia="宋体" w:cs="Times New Roman"/>
      <w:sz w:val="20"/>
    </w:rPr>
  </w:style>
  <w:style w:type="character" w:styleId="1070" w:customStyle="1">
    <w:name w:val="批注文字 Char1"/>
    <w:uiPriority w:val="0"/>
    <w:qFormat/>
    <w:rPr>
      <w:rFonts w:ascii="Times New Roman" w:hAnsi="Times New Roman" w:eastAsia="宋体" w:cs="Times New Roman"/>
      <w:sz w:val="20"/>
    </w:rPr>
  </w:style>
  <w:style w:type="character" w:styleId="1071" w:customStyle="1">
    <w:name w:val="txt"/>
    <w:uiPriority w:val="0"/>
    <w:qFormat/>
    <w:rPr>
      <w:rFonts w:ascii="Times New Roman" w:hAnsi="Times New Roman" w:eastAsia="宋体" w:cs="Times New Roman"/>
      <w:sz w:val="20"/>
    </w:rPr>
  </w:style>
  <w:style w:type="character" w:styleId="1072" w:customStyle="1">
    <w:name w:val="标书正文 Char"/>
    <w:uiPriority w:val="0"/>
    <w:qFormat/>
    <w:rPr>
      <w:rFonts w:ascii="Times New Roman" w:hAnsi="Times New Roman" w:eastAsia="宋体" w:cs="Times New Roman"/>
      <w:sz w:val="20"/>
    </w:rPr>
  </w:style>
  <w:style w:type="character" w:styleId="1073" w:customStyle="1">
    <w:name w:val="font21"/>
    <w:uiPriority w:val="0"/>
    <w:qFormat/>
    <w:rPr>
      <w:rFonts w:hint="eastAsia" w:ascii="宋体" w:hAnsi="宋体" w:eastAsia="宋体" w:cs="宋体"/>
      <w:color w:val="ff0000"/>
      <w:sz w:val="24"/>
      <w:szCs w:val="24"/>
      <w:u w:val="none"/>
    </w:rPr>
  </w:style>
  <w:style w:type="character" w:styleId="1074" w:customStyle="1">
    <w:name w:val="apple-converted-space"/>
    <w:uiPriority w:val="0"/>
    <w:qFormat/>
    <w:rPr>
      <w:rFonts w:ascii="Times New Roman" w:hAnsi="Times New Roman" w:eastAsia="宋体" w:cs="Times New Roman"/>
      <w:sz w:val="20"/>
    </w:rPr>
  </w:style>
  <w:style w:type="character" w:styleId="1075" w:customStyle="1">
    <w:name w:val="纯文本 Char1"/>
    <w:uiPriority w:val="0"/>
    <w:qFormat/>
    <w:rPr>
      <w:rFonts w:ascii="Times New Roman" w:hAnsi="Times New Roman" w:eastAsia="宋体" w:cs="Times New Roman"/>
      <w:sz w:val="20"/>
    </w:rPr>
  </w:style>
  <w:style w:type="character" w:styleId="1076" w:customStyle="1">
    <w:name w:val="para1"/>
    <w:uiPriority w:val="0"/>
    <w:qFormat/>
    <w:rPr>
      <w:rFonts w:ascii="Times New Roman" w:hAnsi="Times New Roman" w:eastAsia="宋体" w:cs="Times New Roman"/>
      <w:sz w:val="20"/>
    </w:rPr>
  </w:style>
  <w:style w:type="character" w:styleId="1077" w:customStyle="1">
    <w:name w:val="HTML 预设格式 Char1"/>
    <w:uiPriority w:val="0"/>
    <w:qFormat/>
    <w:rPr>
      <w:rFonts w:ascii="Times New Roman" w:hAnsi="Times New Roman" w:eastAsia="宋体" w:cs="Times New Roman"/>
      <w:sz w:val="20"/>
    </w:rPr>
  </w:style>
  <w:style w:type="character" w:styleId="1078" w:customStyle="1">
    <w:name w:val="批注文字 Char"/>
    <w:uiPriority w:val="0"/>
    <w:qFormat/>
    <w:rPr>
      <w:rFonts w:ascii="Times New Roman" w:hAnsi="Times New Roman" w:eastAsia="宋体" w:cs="Times New Roman"/>
      <w:sz w:val="20"/>
    </w:rPr>
  </w:style>
  <w:style w:type="character" w:styleId="1079" w:customStyle="1">
    <w:name w:val="文档结构图 Char"/>
    <w:uiPriority w:val="0"/>
    <w:qFormat/>
    <w:rPr>
      <w:rFonts w:ascii="Times New Roman" w:hAnsi="Times New Roman" w:eastAsia="宋体" w:cs="Times New Roman"/>
      <w:sz w:val="20"/>
    </w:rPr>
  </w:style>
  <w:style w:type="character" w:styleId="1080" w:customStyle="1">
    <w:name w:val="超级链接"/>
    <w:uiPriority w:val="0"/>
    <w:qFormat/>
    <w:rPr>
      <w:rFonts w:ascii="Times New Roman" w:hAnsi="Times New Roman" w:eastAsia="宋体" w:cs="Times New Roman"/>
      <w:color w:val="0000ff"/>
      <w:sz w:val="20"/>
      <w:u w:val="single"/>
    </w:rPr>
  </w:style>
  <w:style w:type="character" w:styleId="1081" w:customStyle="1">
    <w:name w:val="p141"/>
    <w:uiPriority w:val="0"/>
    <w:qFormat/>
    <w:rPr>
      <w:rFonts w:ascii="Times New Roman" w:hAnsi="Times New Roman" w:eastAsia="宋体" w:cs="Times New Roman"/>
      <w:color w:val="000000"/>
      <w:sz w:val="20"/>
      <w:u w:val="none"/>
    </w:rPr>
  </w:style>
  <w:style w:type="character" w:styleId="1082" w:customStyle="1">
    <w:name w:val="宏文本 Char"/>
    <w:uiPriority w:val="0"/>
    <w:qFormat/>
    <w:rPr>
      <w:rFonts w:ascii="Times New Roman" w:hAnsi="Times New Roman" w:eastAsia="宋体" w:cs="Times New Roman"/>
      <w:sz w:val="20"/>
    </w:rPr>
  </w:style>
  <w:style w:type="character" w:styleId="1083" w:customStyle="1">
    <w:name w:val="_Style 313"/>
    <w:uiPriority w:val="0"/>
    <w:qFormat/>
    <w:rPr>
      <w:rFonts w:ascii="Times New Roman" w:hAnsi="Times New Roman" w:eastAsia="宋体" w:cs="Times New Roman"/>
      <w:b/>
      <w:i/>
      <w:sz w:val="21"/>
    </w:rPr>
  </w:style>
  <w:style w:type="character" w:styleId="1084" w:customStyle="1">
    <w:name w:val="页脚 Char1"/>
    <w:uiPriority w:val="0"/>
    <w:qFormat/>
    <w:rPr>
      <w:rFonts w:ascii="Times New Roman" w:hAnsi="Times New Roman" w:eastAsia="宋体" w:cs="Times New Roman"/>
      <w:sz w:val="20"/>
    </w:rPr>
  </w:style>
  <w:style w:type="character" w:styleId="1085" w:customStyle="1">
    <w:name w:val="页眉 Char"/>
    <w:uiPriority w:val="0"/>
    <w:qFormat/>
    <w:rPr>
      <w:rFonts w:ascii="Times New Roman" w:hAnsi="Times New Roman" w:eastAsia="宋体" w:cs="Times New Roman"/>
      <w:sz w:val="20"/>
    </w:rPr>
  </w:style>
  <w:style w:type="character" w:styleId="1086" w:customStyle="1">
    <w:name w:val="标题 7 Char"/>
    <w:uiPriority w:val="0"/>
    <w:qFormat/>
    <w:rPr>
      <w:rFonts w:ascii="Times New Roman" w:hAnsi="Times New Roman" w:eastAsia="宋体" w:cs="Times New Roman"/>
      <w:b/>
      <w:sz w:val="20"/>
    </w:rPr>
  </w:style>
  <w:style w:type="character" w:styleId="1087" w:customStyle="1">
    <w:name w:val="Char Char12"/>
    <w:uiPriority w:val="0"/>
    <w:qFormat/>
    <w:rPr>
      <w:rFonts w:ascii="Times New Roman" w:hAnsi="Times New Roman" w:eastAsia="宋体" w:cs="Times New Roman"/>
      <w:sz w:val="20"/>
    </w:rPr>
  </w:style>
  <w:style w:type="character" w:styleId="1088" w:customStyle="1">
    <w:name w:val="标题 3 Char"/>
    <w:uiPriority w:val="0"/>
    <w:qFormat/>
    <w:rPr>
      <w:rFonts w:ascii="Times New Roman" w:hAnsi="Times New Roman" w:eastAsia="宋体" w:cs="Times New Roman"/>
      <w:b/>
      <w:sz w:val="20"/>
    </w:rPr>
  </w:style>
  <w:style w:type="character" w:styleId="1089" w:customStyle="1">
    <w:name w:val="正文（首行缩进 2 字符） Char Char"/>
    <w:uiPriority w:val="0"/>
    <w:qFormat/>
    <w:rPr>
      <w:rFonts w:ascii="Times New Roman" w:hAnsi="Times New Roman" w:eastAsia="宋体" w:cs="Times New Roman"/>
      <w:sz w:val="20"/>
    </w:rPr>
  </w:style>
  <w:style w:type="character" w:styleId="1090" w:customStyle="1">
    <w:name w:val="表格用 Char Char"/>
    <w:uiPriority w:val="0"/>
    <w:qFormat/>
    <w:rPr>
      <w:rFonts w:ascii="Times New Roman" w:hAnsi="Times New Roman" w:eastAsia="宋体" w:cs="Times New Roman"/>
      <w:sz w:val="20"/>
    </w:rPr>
  </w:style>
  <w:style w:type="character" w:styleId="1091" w:customStyle="1">
    <w:name w:val="正文文本缩进 3 Char1"/>
    <w:uiPriority w:val="0"/>
    <w:qFormat/>
    <w:rPr>
      <w:rFonts w:ascii="Times New Roman" w:hAnsi="Times New Roman" w:eastAsia="宋体" w:cs="Times New Roman"/>
      <w:sz w:val="20"/>
    </w:rPr>
  </w:style>
  <w:style w:type="character" w:styleId="1092" w:customStyle="1">
    <w:name w:val="正文缩进 Char"/>
    <w:uiPriority w:val="0"/>
    <w:qFormat/>
    <w:rPr>
      <w:rFonts w:ascii="Times New Roman" w:hAnsi="Times New Roman" w:eastAsia="宋体" w:cs="Times New Roman"/>
      <w:sz w:val="20"/>
    </w:rPr>
  </w:style>
  <w:style w:type="character" w:styleId="1093" w:customStyle="1">
    <w:name w:val="批注框文本 Char1"/>
    <w:uiPriority w:val="0"/>
    <w:qFormat/>
    <w:rPr>
      <w:rFonts w:ascii="Times New Roman" w:hAnsi="Times New Roman" w:eastAsia="宋体" w:cs="Times New Roman"/>
      <w:sz w:val="20"/>
    </w:rPr>
  </w:style>
  <w:style w:type="character" w:styleId="1094" w:customStyle="1">
    <w:name w:val="Char Char13"/>
    <w:uiPriority w:val="0"/>
    <w:qFormat/>
    <w:rPr>
      <w:rFonts w:ascii="Times New Roman" w:hAnsi="Times New Roman" w:eastAsia="宋体" w:cs="Times New Roman"/>
      <w:sz w:val="20"/>
    </w:rPr>
  </w:style>
  <w:style w:type="character" w:styleId="1095" w:customStyle="1">
    <w:name w:val="样式2 Char"/>
    <w:uiPriority w:val="0"/>
    <w:qFormat/>
    <w:rPr>
      <w:rFonts w:ascii="Times New Roman" w:hAnsi="Times New Roman" w:eastAsia="宋体" w:cs="Times New Roman"/>
      <w:b/>
      <w:sz w:val="20"/>
    </w:rPr>
  </w:style>
  <w:style w:type="character" w:styleId="1096" w:customStyle="1">
    <w:name w:val="页脚 Char"/>
    <w:uiPriority w:val="0"/>
    <w:qFormat/>
    <w:rPr>
      <w:rFonts w:ascii="Times New Roman" w:hAnsi="Times New Roman" w:eastAsia="宋体" w:cs="Times New Roman"/>
      <w:sz w:val="20"/>
    </w:rPr>
  </w:style>
  <w:style w:type="character" w:styleId="1097" w:customStyle="1">
    <w:name w:val="标准文本 Char"/>
    <w:uiPriority w:val="0"/>
    <w:qFormat/>
    <w:rPr>
      <w:rFonts w:ascii="Times New Roman" w:hAnsi="Times New Roman" w:eastAsia="宋体" w:cs="Times New Roman"/>
      <w:sz w:val="20"/>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标题 3 Char1"/>
    <w:uiPriority w:val="0"/>
    <w:qFormat/>
    <w:rPr>
      <w:rFonts w:ascii="Times New Roman" w:hAnsi="Times New Roman" w:eastAsia="宋体" w:cs="Times New Roman"/>
      <w:b/>
      <w:sz w:val="20"/>
      <w:u w:val="single"/>
    </w:rPr>
  </w:style>
  <w:style w:type="character" w:styleId="1100" w:customStyle="1">
    <w:name w:val="表格 Char Char"/>
    <w:uiPriority w:val="0"/>
    <w:qFormat/>
    <w:rPr>
      <w:rFonts w:ascii="Times New Roman" w:hAnsi="Times New Roman" w:eastAsia="宋体" w:cs="Times New Roman"/>
      <w:sz w:val="20"/>
    </w:rPr>
  </w:style>
  <w:style w:type="character" w:styleId="1101" w:customStyle="1">
    <w:name w:val="正文首行缩进 Char"/>
    <w:uiPriority w:val="0"/>
    <w:qFormat/>
    <w:rPr>
      <w:rFonts w:ascii="Times New Roman" w:hAnsi="Times New Roman" w:eastAsia="宋体" w:cs="Times New Roman"/>
      <w:sz w:val="20"/>
    </w:rPr>
  </w:style>
  <w:style w:type="character" w:styleId="1102" w:customStyle="1">
    <w:name w:val="标题 9 Char"/>
    <w:uiPriority w:val="0"/>
    <w:qFormat/>
    <w:rPr>
      <w:rFonts w:ascii="Times New Roman" w:hAnsi="Times New Roman" w:eastAsia="宋体" w:cs="Times New Roman"/>
      <w:sz w:val="20"/>
    </w:rPr>
  </w:style>
  <w:style w:type="character" w:styleId="1103" w:customStyle="1">
    <w:name w:val="lh151"/>
    <w:uiPriority w:val="0"/>
    <w:qFormat/>
    <w:rPr>
      <w:rFonts w:ascii="Times New Roman" w:hAnsi="Times New Roman" w:eastAsia="宋体" w:cs="Times New Roman"/>
      <w:color w:val="666666"/>
      <w:sz w:val="20"/>
    </w:rPr>
  </w:style>
  <w:style w:type="character" w:styleId="1104" w:customStyle="1">
    <w:name w:val="日期 Char1"/>
    <w:uiPriority w:val="0"/>
    <w:qFormat/>
    <w:rPr>
      <w:rFonts w:ascii="Times New Roman" w:hAnsi="Times New Roman" w:eastAsia="宋体" w:cs="Times New Roman"/>
      <w:sz w:val="20"/>
    </w:rPr>
  </w:style>
  <w:style w:type="character" w:styleId="1105" w:customStyle="1">
    <w:name w:val="图片 Char Char"/>
    <w:uiPriority w:val="0"/>
    <w:qFormat/>
    <w:rPr>
      <w:rFonts w:ascii="Times New Roman" w:hAnsi="Times New Roman" w:eastAsia="宋体" w:cs="Times New Roman"/>
      <w:sz w:val="20"/>
    </w:rPr>
  </w:style>
  <w:style w:type="character" w:styleId="1106" w:customStyle="1">
    <w:name w:val="批注框文本 字符"/>
    <w:uiPriority w:val="0"/>
    <w:qFormat/>
    <w:rPr>
      <w:rFonts w:ascii="Times New Roman" w:hAnsi="Times New Roman" w:eastAsia="宋体" w:cs="Times New Roman"/>
      <w:sz w:val="20"/>
    </w:rPr>
  </w:style>
  <w:style w:type="character" w:styleId="1107" w:customStyle="1">
    <w:name w:val="HTML 预设格式 Char"/>
    <w:uiPriority w:val="0"/>
    <w:qFormat/>
    <w:rPr>
      <w:rFonts w:ascii="Times New Roman" w:hAnsi="Times New Roman" w:eastAsia="宋体" w:cs="Times New Roman"/>
      <w:sz w:val="20"/>
    </w:rPr>
  </w:style>
  <w:style w:type="character" w:styleId="1108" w:customStyle="1">
    <w:name w:val="列出段落 Char"/>
    <w:uiPriority w:val="0"/>
    <w:qFormat/>
    <w:rPr>
      <w:rFonts w:ascii="Times New Roman" w:hAnsi="Times New Roman" w:eastAsia="宋体" w:cs="Times New Roman"/>
      <w:sz w:val="20"/>
    </w:rPr>
  </w:style>
  <w:style w:type="character" w:styleId="1109" w:customStyle="1">
    <w:name w:val="标题 5 Char"/>
    <w:uiPriority w:val="0"/>
    <w:qFormat/>
    <w:rPr>
      <w:rFonts w:ascii="Times New Roman" w:hAnsi="Times New Roman" w:eastAsia="宋体" w:cs="Times New Roman"/>
      <w:b/>
      <w:sz w:val="20"/>
    </w:rPr>
  </w:style>
  <w:style w:type="character" w:styleId="1110" w:customStyle="1">
    <w:name w:val="链接"/>
    <w:uiPriority w:val="0"/>
    <w:qFormat/>
    <w:rPr>
      <w:rFonts w:ascii="Times New Roman" w:hAnsi="Times New Roman" w:eastAsia="宋体" w:cs="Times New Roman"/>
      <w:color w:val="0000ff"/>
      <w:sz w:val="20"/>
      <w:u w:val="single"/>
    </w:rPr>
  </w:style>
  <w:style w:type="character" w:styleId="1111" w:customStyle="1">
    <w:name w:val="18h1"/>
    <w:uiPriority w:val="0"/>
    <w:qFormat/>
    <w:rPr>
      <w:rFonts w:ascii="Times New Roman" w:hAnsi="Times New Roman" w:eastAsia="宋体" w:cs="Times New Roman"/>
      <w:color w:val="3b3b3b"/>
      <w:sz w:val="20"/>
    </w:rPr>
  </w:style>
  <w:style w:type="character" w:styleId="1112" w:customStyle="1">
    <w:name w:val="表格文字（两侧对齐） Char Char"/>
    <w:uiPriority w:val="0"/>
    <w:qFormat/>
    <w:rPr>
      <w:rFonts w:ascii="Times New Roman" w:hAnsi="Times New Roman" w:eastAsia="宋体" w:cs="Times New Roman"/>
      <w:sz w:val="20"/>
    </w:rPr>
  </w:style>
  <w:style w:type="character" w:styleId="1113" w:customStyle="1">
    <w:name w:val="正文文本缩进 2 Char"/>
    <w:uiPriority w:val="0"/>
    <w:qFormat/>
    <w:rPr>
      <w:rFonts w:ascii="Times New Roman" w:hAnsi="Times New Roman" w:eastAsia="宋体" w:cs="Times New Roman"/>
      <w:sz w:val="20"/>
    </w:rPr>
  </w:style>
  <w:style w:type="character" w:styleId="1114" w:customStyle="1">
    <w:name w:val="Char Char14"/>
    <w:uiPriority w:val="0"/>
    <w:qFormat/>
    <w:rPr>
      <w:rFonts w:ascii="Times New Roman" w:hAnsi="Times New Roman" w:eastAsia="宋体" w:cs="Times New Roman"/>
      <w:sz w:val="20"/>
    </w:rPr>
  </w:style>
  <w:style w:type="character" w:styleId="1115" w:customStyle="1">
    <w:name w:val="标题 1 Char1"/>
    <w:uiPriority w:val="0"/>
    <w:qFormat/>
    <w:rPr>
      <w:rFonts w:ascii="Times New Roman" w:hAnsi="Times New Roman" w:eastAsia="宋体" w:cs="Times New Roman"/>
      <w:b/>
      <w:sz w:val="20"/>
    </w:rPr>
  </w:style>
  <w:style w:type="character" w:styleId="1116" w:customStyle="1">
    <w:name w:val="批注框文本 Char"/>
    <w:uiPriority w:val="0"/>
    <w:qFormat/>
    <w:rPr>
      <w:rFonts w:ascii="Times New Roman" w:hAnsi="Times New Roman" w:eastAsia="宋体" w:cs="Times New Roman"/>
      <w:sz w:val="20"/>
    </w:rPr>
  </w:style>
  <w:style w:type="character" w:styleId="1117" w:customStyle="1">
    <w:name w:val="apple-style-span"/>
    <w:uiPriority w:val="0"/>
    <w:qFormat/>
    <w:rPr>
      <w:rFonts w:ascii="Times New Roman" w:hAnsi="Times New Roman" w:eastAsia="宋体" w:cs="Times New Roman"/>
      <w:sz w:val="20"/>
    </w:rPr>
  </w:style>
  <w:style w:type="character" w:styleId="1118" w:customStyle="1">
    <w:name w:val="插图 Char Char"/>
    <w:uiPriority w:val="0"/>
    <w:qFormat/>
    <w:rPr>
      <w:rFonts w:ascii="Times New Roman" w:hAnsi="Times New Roman" w:eastAsia="宋体" w:cs="Times New Roman"/>
      <w:sz w:val="20"/>
    </w:rPr>
  </w:style>
  <w:style w:type="character" w:styleId="1119" w:customStyle="1">
    <w:name w:val="标题 2 Char1"/>
    <w:uiPriority w:val="0"/>
    <w:qFormat/>
    <w:rPr>
      <w:rFonts w:ascii="Times New Roman" w:hAnsi="Times New Roman" w:eastAsia="宋体" w:cs="Times New Roman"/>
      <w:b/>
      <w:sz w:val="20"/>
    </w:rPr>
  </w:style>
  <w:style w:type="character" w:styleId="1120" w:customStyle="1">
    <w:name w:val="_Style 332"/>
    <w:uiPriority w:val="0"/>
    <w:qFormat/>
    <w:rPr>
      <w:rFonts w:ascii="Times New Roman" w:hAnsi="Times New Roman" w:eastAsia="宋体" w:cs="Times New Roman"/>
      <w:i/>
      <w:color w:val="auto"/>
      <w:sz w:val="21"/>
    </w:rPr>
  </w:style>
  <w:style w:type="character" w:styleId="1121" w:customStyle="1">
    <w:name w:val="正文文本 3 Char1"/>
    <w:uiPriority w:val="0"/>
    <w:qFormat/>
    <w:rPr>
      <w:rFonts w:ascii="Times New Roman" w:hAnsi="Times New Roman" w:eastAsia="宋体" w:cs="Times New Roman"/>
      <w:sz w:val="20"/>
    </w:rPr>
  </w:style>
  <w:style w:type="character" w:styleId="1122" w:customStyle="1">
    <w:name w:val="标题 5 Char1"/>
    <w:uiPriority w:val="0"/>
    <w:qFormat/>
    <w:rPr>
      <w:rFonts w:ascii="Times New Roman" w:hAnsi="Times New Roman" w:eastAsia="宋体" w:cs="Times New Roman"/>
      <w:b/>
      <w:sz w:val="20"/>
    </w:rPr>
  </w:style>
  <w:style w:type="character" w:styleId="1123" w:customStyle="1">
    <w:name w:val="批注主题 Char"/>
    <w:uiPriority w:val="0"/>
    <w:qFormat/>
    <w:rPr>
      <w:rFonts w:ascii="Times New Roman" w:hAnsi="Times New Roman" w:eastAsia="宋体" w:cs="Times New Roman"/>
      <w:b/>
      <w:sz w:val="20"/>
    </w:rPr>
  </w:style>
  <w:style w:type="character" w:styleId="1124" w:customStyle="1">
    <w:name w:val="标题 1 Char"/>
    <w:uiPriority w:val="0"/>
    <w:qFormat/>
    <w:rPr>
      <w:rFonts w:ascii="Times New Roman" w:hAnsi="Times New Roman" w:eastAsia="宋体" w:cs="Times New Roman"/>
      <w:b/>
      <w:sz w:val="20"/>
    </w:rPr>
  </w:style>
  <w:style w:type="character" w:styleId="1125" w:customStyle="1">
    <w:name w:val="正文文本 2 Char1"/>
    <w:uiPriority w:val="0"/>
    <w:qFormat/>
    <w:rPr>
      <w:rFonts w:ascii="Times New Roman" w:hAnsi="Times New Roman" w:eastAsia="宋体" w:cs="Times New Roman"/>
      <w:sz w:val="20"/>
    </w:rPr>
  </w:style>
  <w:style w:type="character" w:styleId="1126" w:customStyle="1">
    <w:name w:val="标题 4 Char1"/>
    <w:uiPriority w:val="0"/>
    <w:qFormat/>
    <w:rPr>
      <w:rFonts w:ascii="Times New Roman" w:hAnsi="Times New Roman" w:eastAsia="宋体" w:cs="Times New Roman"/>
      <w:b/>
      <w:sz w:val="20"/>
    </w:rPr>
  </w:style>
  <w:style w:type="character" w:styleId="1127" w:customStyle="1">
    <w:name w:val="正文文本 2 Char"/>
    <w:uiPriority w:val="0"/>
    <w:qFormat/>
    <w:rPr>
      <w:rFonts w:ascii="Times New Roman" w:hAnsi="Times New Roman" w:eastAsia="宋体" w:cs="Times New Roman"/>
      <w:sz w:val="20"/>
    </w:rPr>
  </w:style>
  <w:style w:type="character" w:styleId="1128" w:customStyle="1">
    <w:name w:val="_Style 376"/>
    <w:uiPriority w:val="0"/>
    <w:qFormat/>
    <w:rPr>
      <w:rFonts w:ascii="Times New Roman" w:hAnsi="Times New Roman" w:eastAsia="宋体" w:cs="Times New Roman"/>
      <w:b/>
      <w:color w:val="auto"/>
      <w:sz w:val="21"/>
    </w:rPr>
  </w:style>
  <w:style w:type="character" w:styleId="1129" w:customStyle="1">
    <w:name w:val="062"/>
    <w:uiPriority w:val="0"/>
    <w:qFormat/>
    <w:rPr>
      <w:rFonts w:ascii="Times New Roman" w:hAnsi="Times New Roman" w:eastAsia="宋体" w:cs="Times New Roman"/>
      <w:b/>
      <w:sz w:val="20"/>
    </w:rPr>
  </w:style>
  <w:style w:type="character" w:styleId="1130" w:customStyle="1">
    <w:name w:val="正文文本 Char1"/>
    <w:uiPriority w:val="0"/>
    <w:qFormat/>
    <w:rPr>
      <w:rFonts w:ascii="Times New Roman" w:hAnsi="Times New Roman" w:eastAsia="宋体" w:cs="Times New Roman"/>
      <w:sz w:val="20"/>
    </w:rPr>
  </w:style>
  <w:style w:type="character" w:styleId="1131" w:customStyle="1">
    <w:name w:val="题注 Char"/>
    <w:uiPriority w:val="0"/>
    <w:qFormat/>
    <w:rPr>
      <w:rFonts w:ascii="Times New Roman" w:hAnsi="Times New Roman" w:eastAsia="宋体" w:cs="Times New Roman"/>
      <w:sz w:val="20"/>
    </w:rPr>
  </w:style>
  <w:style w:type="character" w:styleId="1132" w:customStyle="1">
    <w:name w:val="脚注文本 Char"/>
    <w:uiPriority w:val="0"/>
    <w:qFormat/>
    <w:rPr>
      <w:rFonts w:ascii="Times New Roman" w:hAnsi="Times New Roman" w:eastAsia="宋体" w:cs="Times New Roman"/>
      <w:sz w:val="20"/>
    </w:rPr>
  </w:style>
  <w:style w:type="character" w:styleId="1133" w:customStyle="1">
    <w:name w:val="_Style 336"/>
    <w:uiPriority w:val="0"/>
    <w:qFormat/>
    <w:rPr>
      <w:rFonts w:ascii="Times New Roman" w:hAnsi="Times New Roman" w:eastAsia="宋体" w:cs="Times New Roman"/>
      <w:i/>
      <w:color w:val="auto"/>
      <w:sz w:val="21"/>
    </w:rPr>
  </w:style>
  <w:style w:type="character" w:styleId="1134" w:customStyle="1">
    <w:name w:val="表格 Char"/>
    <w:uiPriority w:val="0"/>
    <w:qFormat/>
    <w:rPr>
      <w:rFonts w:ascii="Times New Roman" w:hAnsi="Times New Roman" w:eastAsia="宋体" w:cs="Times New Roman"/>
      <w:color w:val="000000"/>
      <w:sz w:val="20"/>
    </w:rPr>
  </w:style>
  <w:style w:type="character" w:styleId="1135" w:customStyle="1">
    <w:name w:val="批注主题 字符"/>
    <w:uiPriority w:val="0"/>
    <w:qFormat/>
    <w:rPr>
      <w:rFonts w:ascii="Times New Roman" w:hAnsi="Times New Roman" w:eastAsia="宋体" w:cs="Times New Roman"/>
      <w:b/>
      <w:sz w:val="20"/>
    </w:rPr>
  </w:style>
  <w:style w:type="character" w:styleId="1136" w:customStyle="1">
    <w:name w:val="图注 Char Char"/>
    <w:uiPriority w:val="0"/>
    <w:qFormat/>
    <w:rPr>
      <w:rFonts w:ascii="Times New Roman" w:hAnsi="Times New Roman" w:eastAsia="宋体" w:cs="Times New Roman"/>
      <w:sz w:val="20"/>
    </w:rPr>
  </w:style>
  <w:style w:type="character" w:styleId="1137" w:customStyle="1">
    <w:name w:val="页码1"/>
    <w:uiPriority w:val="0"/>
    <w:qFormat/>
    <w:rPr>
      <w:rFonts w:ascii="Times New Roman" w:hAnsi="Times New Roman" w:eastAsia="宋体" w:cs="Times New Roman"/>
      <w:sz w:val="20"/>
    </w:rPr>
  </w:style>
  <w:style w:type="character" w:styleId="1138" w:customStyle="1">
    <w:name w:val="列表框1 Char Char"/>
    <w:uiPriority w:val="0"/>
    <w:qFormat/>
    <w:rPr>
      <w:rFonts w:ascii="Times New Roman" w:hAnsi="Times New Roman" w:eastAsia="宋体" w:cs="Times New Roman"/>
      <w:sz w:val="20"/>
    </w:rPr>
  </w:style>
  <w:style w:type="character" w:styleId="1139" w:customStyle="1">
    <w:name w:val="1ji Char"/>
    <w:uiPriority w:val="0"/>
    <w:qFormat/>
    <w:rPr>
      <w:rFonts w:ascii="Times New Roman" w:hAnsi="Times New Roman" w:eastAsia="宋体" w:cs="Times New Roman"/>
      <w:b/>
      <w:sz w:val="20"/>
    </w:rPr>
  </w:style>
  <w:style w:type="character" w:styleId="1140" w:customStyle="1">
    <w:name w:val="正文文本缩进 Char"/>
    <w:uiPriority w:val="0"/>
    <w:qFormat/>
    <w:rPr>
      <w:rFonts w:ascii="Times New Roman" w:hAnsi="Times New Roman" w:eastAsia="宋体" w:cs="Times New Roman"/>
      <w:sz w:val="20"/>
    </w:rPr>
  </w:style>
  <w:style w:type="character" w:styleId="1141" w:customStyle="1">
    <w:name w:val="标准文本 Char Char"/>
    <w:uiPriority w:val="0"/>
    <w:qFormat/>
    <w:rPr>
      <w:rFonts w:ascii="Times New Roman" w:hAnsi="Times New Roman" w:eastAsia="宋体" w:cs="Times New Roman"/>
      <w:sz w:val="20"/>
    </w:rPr>
  </w:style>
  <w:style w:type="character" w:styleId="1142" w:customStyle="1">
    <w:name w:val="表格用 Char"/>
    <w:uiPriority w:val="0"/>
    <w:qFormat/>
    <w:rPr>
      <w:rFonts w:ascii="Times New Roman" w:hAnsi="Times New Roman" w:eastAsia="宋体" w:cs="Times New Roman"/>
      <w:color w:val="000000"/>
      <w:sz w:val="20"/>
    </w:rPr>
  </w:style>
  <w:style w:type="character" w:styleId="1143" w:customStyle="1">
    <w:name w:val="标题 7 Char1"/>
    <w:uiPriority w:val="0"/>
    <w:qFormat/>
    <w:rPr>
      <w:rFonts w:ascii="Times New Roman" w:hAnsi="Times New Roman" w:eastAsia="宋体" w:cs="Times New Roman"/>
      <w:b/>
      <w:sz w:val="20"/>
    </w:rPr>
  </w:style>
  <w:style w:type="character" w:styleId="1144" w:customStyle="1">
    <w:name w:val="H 3 Char"/>
    <w:uiPriority w:val="0"/>
    <w:qFormat/>
    <w:rPr>
      <w:rFonts w:ascii="Times New Roman" w:hAnsi="Times New Roman" w:eastAsia="宋体" w:cs="Times New Roman"/>
      <w:b/>
      <w:sz w:val="20"/>
    </w:rPr>
  </w:style>
  <w:style w:type="character" w:styleId="1145" w:customStyle="1">
    <w:name w:val="正文文本缩进 3 字符"/>
    <w:uiPriority w:val="0"/>
    <w:qFormat/>
    <w:rPr>
      <w:rFonts w:ascii="Times New Roman" w:hAnsi="Times New Roman" w:eastAsia="宋体" w:cs="Times New Roman"/>
      <w:sz w:val="16"/>
      <w:szCs w:val="16"/>
    </w:rPr>
  </w:style>
  <w:style w:type="character" w:styleId="1146" w:customStyle="1">
    <w:name w:val="标题 Char"/>
    <w:uiPriority w:val="0"/>
    <w:qFormat/>
    <w:rPr>
      <w:rFonts w:ascii="Times New Roman" w:hAnsi="Times New Roman" w:eastAsia="宋体" w:cs="Times New Roman"/>
      <w:b/>
      <w:sz w:val="20"/>
    </w:rPr>
  </w:style>
  <w:style w:type="character" w:styleId="1147" w:customStyle="1">
    <w:name w:val="H 4 Char"/>
    <w:uiPriority w:val="0"/>
    <w:qFormat/>
    <w:rPr>
      <w:rFonts w:ascii="Times New Roman" w:hAnsi="Times New Roman" w:eastAsia="宋体" w:cs="Times New Roman"/>
      <w:b/>
      <w:sz w:val="20"/>
    </w:rPr>
  </w:style>
  <w:style w:type="character" w:styleId="1148" w:customStyle="1">
    <w:name w:val="批注主题 Char1"/>
    <w:uiPriority w:val="0"/>
    <w:qFormat/>
    <w:rPr>
      <w:rFonts w:ascii="Times New Roman" w:hAnsi="Times New Roman" w:eastAsia="宋体" w:cs="Times New Roman"/>
      <w:b/>
      <w:sz w:val="20"/>
    </w:rPr>
  </w:style>
  <w:style w:type="character" w:styleId="1149" w:customStyle="1">
    <w:name w:val="正文文本缩进 Char1"/>
    <w:uiPriority w:val="0"/>
    <w:qFormat/>
    <w:rPr>
      <w:rFonts w:ascii="Times New Roman" w:hAnsi="Times New Roman" w:eastAsia="宋体" w:cs="Times New Roman"/>
      <w:sz w:val="20"/>
    </w:rPr>
  </w:style>
  <w:style w:type="character" w:styleId="1150" w:customStyle="1">
    <w:name w:val="正文文本 3 Char"/>
    <w:uiPriority w:val="0"/>
    <w:qFormat/>
    <w:rPr>
      <w:rFonts w:ascii="Times New Roman" w:hAnsi="Times New Roman" w:eastAsia="宋体" w:cs="Times New Roman"/>
      <w:sz w:val="20"/>
    </w:rPr>
  </w:style>
  <w:style w:type="character" w:styleId="1151" w:customStyle="1">
    <w:name w:val="正文首行缩进 2 Char"/>
    <w:uiPriority w:val="0"/>
    <w:qFormat/>
    <w:rPr>
      <w:rFonts w:ascii="Times New Roman" w:hAnsi="Times New Roman" w:eastAsia="宋体" w:cs="Times New Roman"/>
      <w:sz w:val="20"/>
    </w:rPr>
  </w:style>
  <w:style w:type="character" w:styleId="1152" w:customStyle="1">
    <w:name w:val="页眉 Char1"/>
    <w:uiPriority w:val="0"/>
    <w:qFormat/>
    <w:rPr>
      <w:rFonts w:ascii="Times New Roman" w:hAnsi="Times New Roman" w:eastAsia="宋体" w:cs="Times New Roman"/>
      <w:sz w:val="20"/>
    </w:rPr>
  </w:style>
  <w:style w:type="character" w:styleId="1153" w:customStyle="1">
    <w:name w:val="Char Char2"/>
    <w:uiPriority w:val="0"/>
    <w:qFormat/>
    <w:rPr>
      <w:rFonts w:ascii="Times New Roman" w:hAnsi="Times New Roman" w:eastAsia="宋体" w:cs="Times New Roman"/>
      <w:sz w:val="20"/>
    </w:rPr>
  </w:style>
  <w:style w:type="character" w:styleId="1154" w:customStyle="1">
    <w:name w:val="样式 首行缩进:  2 字符 Char1"/>
    <w:uiPriority w:val="0"/>
    <w:qFormat/>
    <w:rPr>
      <w:rFonts w:ascii="Times New Roman" w:hAnsi="Times New Roman" w:eastAsia="宋体" w:cs="Times New Roman"/>
      <w:sz w:val="20"/>
    </w:rPr>
  </w:style>
  <w:style w:type="character" w:styleId="1155" w:customStyle="1">
    <w:name w:val="标题 2 Char"/>
    <w:uiPriority w:val="0"/>
    <w:qFormat/>
    <w:rPr>
      <w:rFonts w:ascii="Times New Roman" w:hAnsi="Times New Roman" w:eastAsia="宋体" w:cs="Times New Roman"/>
      <w:b/>
      <w:sz w:val="20"/>
    </w:rPr>
  </w:style>
  <w:style w:type="character" w:styleId="1156" w:customStyle="1">
    <w:name w:val="表格文字图表文字 Char Char"/>
    <w:uiPriority w:val="0"/>
    <w:qFormat/>
    <w:rPr>
      <w:rFonts w:ascii="Times New Roman" w:hAnsi="Times New Roman" w:eastAsia="宋体" w:cs="Times New Roman"/>
      <w:sz w:val="20"/>
    </w:rPr>
  </w:style>
  <w:style w:type="character" w:styleId="1157" w:customStyle="1">
    <w:name w:val="图片 Char"/>
    <w:uiPriority w:val="0"/>
    <w:qFormat/>
    <w:rPr>
      <w:rFonts w:ascii="Times New Roman" w:hAnsi="Times New Roman" w:eastAsia="宋体" w:cs="Times New Roman"/>
      <w:sz w:val="20"/>
    </w:rPr>
  </w:style>
  <w:style w:type="character" w:styleId="1158" w:customStyle="1">
    <w:name w:val="标题 6 Char"/>
    <w:uiPriority w:val="0"/>
    <w:qFormat/>
    <w:rPr>
      <w:rFonts w:ascii="Times New Roman" w:hAnsi="Times New Roman" w:eastAsia="宋体" w:cs="Times New Roman"/>
      <w:b/>
      <w:sz w:val="20"/>
    </w:rPr>
  </w:style>
  <w:style w:type="character" w:styleId="1159" w:customStyle="1">
    <w:name w:val="标题 4 Char"/>
    <w:uiPriority w:val="0"/>
    <w:qFormat/>
    <w:rPr>
      <w:rFonts w:ascii="Times New Roman" w:hAnsi="Times New Roman" w:eastAsia="宋体" w:cs="Times New Roman"/>
      <w:b/>
      <w:sz w:val="20"/>
    </w:rPr>
  </w:style>
  <w:style w:type="character" w:styleId="1160" w:customStyle="1">
    <w:name w:val="文档结构图 Char1"/>
    <w:uiPriority w:val="0"/>
    <w:qFormat/>
    <w:rPr>
      <w:rFonts w:ascii="Times New Roman" w:hAnsi="Times New Roman" w:eastAsia="宋体" w:cs="Times New Roman"/>
      <w:sz w:val="20"/>
    </w:rPr>
  </w:style>
  <w:style w:type="character" w:styleId="1161" w:customStyle="1">
    <w:name w:val="项目符0 Char"/>
    <w:uiPriority w:val="0"/>
    <w:qFormat/>
    <w:rPr>
      <w:rFonts w:ascii="Times New Roman" w:hAnsi="Times New Roman" w:eastAsia="宋体" w:cs="Times New Roman"/>
      <w:sz w:val="20"/>
    </w:rPr>
  </w:style>
  <w:style w:type="character" w:styleId="1162" w:customStyle="1">
    <w:name w:val="正文文本缩进 3 Char"/>
    <w:uiPriority w:val="0"/>
    <w:qFormat/>
    <w:rPr>
      <w:rFonts w:ascii="Times New Roman" w:hAnsi="Times New Roman" w:eastAsia="宋体" w:cs="Times New Roman"/>
      <w:sz w:val="20"/>
    </w:rPr>
  </w:style>
  <w:style w:type="character" w:styleId="1163" w:customStyle="1">
    <w:name w:val="Char Char3"/>
    <w:uiPriority w:val="0"/>
    <w:qFormat/>
    <w:rPr>
      <w:rFonts w:ascii="Times New Roman" w:hAnsi="Times New Roman" w:eastAsia="宋体" w:cs="Times New Roman"/>
      <w:sz w:val="20"/>
    </w:rPr>
  </w:style>
  <w:style w:type="character" w:styleId="1164" w:customStyle="1">
    <w:name w:val="纯文本 Char"/>
    <w:uiPriority w:val="0"/>
    <w:qFormat/>
    <w:rPr>
      <w:rFonts w:ascii="Times New Roman" w:hAnsi="Times New Roman" w:eastAsia="宋体" w:cs="Times New Roman"/>
      <w:sz w:val="20"/>
    </w:rPr>
  </w:style>
  <w:style w:type="character" w:styleId="1165" w:customStyle="1">
    <w:name w:val="正文文本缩进 2 Char1"/>
    <w:uiPriority w:val="0"/>
    <w:qFormat/>
    <w:rPr>
      <w:rFonts w:ascii="Times New Roman" w:hAnsi="Times New Roman" w:eastAsia="宋体" w:cs="Times New Roman"/>
      <w:sz w:val="20"/>
    </w:rPr>
  </w:style>
  <w:style w:type="character" w:styleId="1166" w:customStyle="1">
    <w:name w:val="标题 8 Char"/>
    <w:uiPriority w:val="0"/>
    <w:qFormat/>
    <w:rPr>
      <w:rFonts w:ascii="Times New Roman" w:hAnsi="Times New Roman" w:eastAsia="宋体" w:cs="Times New Roman"/>
      <w:sz w:val="20"/>
    </w:rPr>
  </w:style>
  <w:style w:type="character" w:styleId="1167" w:customStyle="1">
    <w:name w:val="标题 6 Char1"/>
    <w:uiPriority w:val="0"/>
    <w:qFormat/>
    <w:rPr>
      <w:rFonts w:ascii="Times New Roman" w:hAnsi="Times New Roman" w:eastAsia="宋体" w:cs="Times New Roman"/>
      <w:b/>
      <w:sz w:val="20"/>
    </w:rPr>
  </w:style>
  <w:style w:type="character" w:styleId="1168" w:customStyle="1">
    <w:name w:val="case31"/>
    <w:uiPriority w:val="0"/>
    <w:qFormat/>
    <w:rPr>
      <w:rFonts w:ascii="Times New Roman" w:hAnsi="Times New Roman" w:eastAsia="宋体" w:cs="Times New Roman"/>
      <w:sz w:val="20"/>
    </w:rPr>
  </w:style>
  <w:style w:type="character" w:styleId="1169" w:customStyle="1">
    <w:name w:val="正文文本 Char"/>
    <w:uiPriority w:val="0"/>
    <w:qFormat/>
    <w:rPr>
      <w:rFonts w:ascii="Times New Roman" w:hAnsi="Times New Roman" w:eastAsia="宋体" w:cs="Times New Roman"/>
      <w:sz w:val="20"/>
    </w:rPr>
  </w:style>
  <w:style w:type="paragraph" w:styleId="1170" w:customStyle="1">
    <w:name w:val="节标题"/>
    <w:basedOn w:val="991"/>
    <w:next w:val="1171"/>
    <w:uiPriority w:val="0"/>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7"/>
    <w:next w:val="990"/>
    <w:uiPriority w:val="0"/>
    <w:qFormat/>
    <w:pPr>
      <w:ind w:left="1134" w:firstLine="20"/>
      <w:spacing w:before="280" w:after="280" w:line="360" w:lineRule="auto"/>
      <w:outlineLvl w:val="5"/>
    </w:pPr>
  </w:style>
  <w:style w:type="paragraph" w:styleId="1172" w:customStyle="1">
    <w:name w:val="正文段"/>
    <w:basedOn w:val="991"/>
    <w:next w:val="1173"/>
    <w:uiPriority w:val="0"/>
    <w:qFormat/>
    <w:pPr>
      <w:ind w:left="454" w:firstLine="1222"/>
      <w:spacing w:before="0" w:after="240" w:line="240" w:lineRule="atLeast"/>
    </w:pPr>
    <w:rPr>
      <w:rFonts w:ascii="Times New Roman" w:hAnsi="Times New Roman" w:cs="Times New Roman"/>
    </w:rPr>
  </w:style>
  <w:style w:type="paragraph" w:styleId="1173" w:customStyle="1">
    <w:name w:val="批注主题1"/>
    <w:next w:val="990"/>
    <w:uiPriority w:val="0"/>
    <w:qFormat/>
    <w:pPr>
      <w:ind w:left="200" w:firstLine="4808"/>
      <w:spacing w:line="360" w:lineRule="auto"/>
    </w:pPr>
    <w:rPr>
      <w:rFonts w:ascii="Calibri" w:hAnsi="Calibri" w:eastAsia="宋体" w:cs="宋体"/>
      <w:lang w:val="en-US" w:eastAsia="zh-CN" w:bidi="ar-SA"/>
    </w:rPr>
  </w:style>
  <w:style w:type="paragraph" w:styleId="1174" w:customStyle="1">
    <w:name w:val="_Style 224"/>
    <w:next w:val="1175"/>
    <w:uiPriority w:val="0"/>
    <w:qFormat/>
    <w:pPr>
      <w:ind w:firstLine="3584"/>
    </w:pPr>
    <w:rPr>
      <w:rFonts w:ascii="Calibri" w:hAnsi="Calibri" w:eastAsia="宋体" w:cs="宋体"/>
      <w:lang w:val="en-US" w:eastAsia="zh-CN" w:bidi="ar-SA"/>
    </w:rPr>
  </w:style>
  <w:style w:type="paragraph" w:styleId="1175" w:customStyle="1">
    <w:name w:val="编号1"/>
    <w:basedOn w:val="991"/>
    <w:next w:val="1176"/>
    <w:uiPriority w:val="0"/>
    <w:qFormat/>
    <w:pPr>
      <w:ind w:left="360" w:right="210" w:firstLine="2200"/>
      <w:spacing w:before="0" w:after="0" w:line="240" w:lineRule="auto"/>
    </w:pPr>
    <w:rPr>
      <w:rFonts w:ascii="Times New Roman" w:hAnsi="Times New Roman" w:cs="Times New Roman"/>
    </w:rPr>
  </w:style>
  <w:style w:type="paragraph" w:styleId="1176" w:customStyle="1">
    <w:name w:val="图片"/>
    <w:basedOn w:val="991"/>
    <w:next w:val="1177"/>
    <w:uiPriority w:val="0"/>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uiPriority w:val="0"/>
    <w:qFormat/>
    <w:pPr>
      <w:ind w:left="400" w:firstLine="5120"/>
      <w:spacing w:line="360" w:lineRule="auto"/>
      <w:widowControl w:val="off"/>
    </w:pPr>
    <w:rPr>
      <w:rFonts w:ascii="Calibri" w:hAnsi="Calibri" w:eastAsia="宋体" w:cs="宋体"/>
      <w:lang w:val="en-US" w:eastAsia="zh-CN" w:bidi="ar-SA"/>
    </w:rPr>
  </w:style>
  <w:style w:type="paragraph" w:styleId="1178" w:customStyle="1">
    <w:name w:val="图注"/>
    <w:next w:val="1179"/>
    <w:uiPriority w:val="0"/>
    <w:qFormat/>
    <w:pPr>
      <w:ind w:left="360" w:firstLine="2152"/>
      <w:jc w:val="center"/>
    </w:pPr>
    <w:rPr>
      <w:rFonts w:ascii="Calibri" w:hAnsi="Calibri" w:eastAsia="宋体" w:cs="宋体"/>
      <w:lang w:val="en-US" w:eastAsia="zh-CN" w:bidi="ar-SA"/>
    </w:rPr>
  </w:style>
  <w:style w:type="paragraph" w:styleId="1179" w:customStyle="1">
    <w:name w:val="列表编号 41"/>
    <w:basedOn w:val="991"/>
    <w:next w:val="1180"/>
    <w:uiPriority w:val="0"/>
    <w:qFormat/>
    <w:pPr>
      <w:ind w:left="1620" w:firstLine="2712"/>
      <w:spacing w:before="0" w:after="0" w:line="360" w:lineRule="auto"/>
    </w:pPr>
    <w:rPr>
      <w:rFonts w:ascii="Times New Roman" w:hAnsi="Times New Roman" w:cs="Times New Roman"/>
    </w:rPr>
  </w:style>
  <w:style w:type="paragraph" w:styleId="1180" w:customStyle="1">
    <w:name w:val="项目符0"/>
    <w:basedOn w:val="991"/>
    <w:next w:val="1181"/>
    <w:uiPriority w:val="0"/>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uiPriority w:val="0"/>
    <w:qFormat/>
    <w:pPr>
      <w:ind w:firstLine="5632"/>
      <w:widowControl w:val="off"/>
    </w:pPr>
    <w:rPr>
      <w:rFonts w:ascii="Calibri" w:hAnsi="Calibri" w:eastAsia="宋体" w:cs="宋体"/>
      <w:lang w:val="en-US" w:eastAsia="zh-CN" w:bidi="ar-SA"/>
    </w:rPr>
  </w:style>
  <w:style w:type="paragraph" w:styleId="1182" w:customStyle="1">
    <w:name w:val="Item Step in Table"/>
    <w:next w:val="1183"/>
    <w:uiPriority w:val="0"/>
    <w:qFormat/>
    <w:pPr>
      <w:ind w:left="397" w:firstLine="3699"/>
      <w:jc w:val="both"/>
      <w:spacing w:before="40" w:after="40"/>
    </w:pPr>
    <w:rPr>
      <w:rFonts w:ascii="Calibri" w:hAnsi="Calibri" w:eastAsia="宋体" w:cs="宋体"/>
      <w:lang w:val="en-US" w:eastAsia="zh-CN" w:bidi="ar-SA"/>
    </w:rPr>
  </w:style>
  <w:style w:type="paragraph" w:styleId="1183" w:customStyle="1">
    <w:name w:val="Char Char Char Char Char Char1 Char Char Char Char Char Char"/>
    <w:basedOn w:val="991"/>
    <w:next w:val="1184"/>
    <w:uiPriority w:val="0"/>
    <w:qFormat/>
    <w:pPr>
      <w:ind w:left="0" w:firstLine="2560"/>
      <w:spacing w:before="0" w:after="0" w:line="240" w:lineRule="auto"/>
    </w:pPr>
    <w:rPr>
      <w:rFonts w:ascii="Times New Roman" w:hAnsi="Times New Roman" w:cs="Times New Roman"/>
    </w:rPr>
  </w:style>
  <w:style w:type="paragraph" w:styleId="1184" w:customStyle="1">
    <w:name w:val="Char Char1"/>
    <w:basedOn w:val="991"/>
    <w:next w:val="1185"/>
    <w:uiPriority w:val="0"/>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4"/>
    <w:next w:val="1048"/>
    <w:uiPriority w:val="0"/>
    <w:qFormat/>
    <w:pPr>
      <w:ind w:left="200" w:firstLine="18"/>
      <w:spacing w:before="0" w:after="0" w:line="360" w:lineRule="auto"/>
      <w:outlineLvl w:val="2"/>
    </w:pPr>
  </w:style>
  <w:style w:type="paragraph" w:styleId="1186" w:customStyle="1">
    <w:name w:val="xl76"/>
    <w:basedOn w:val="991"/>
    <w:next w:val="1045"/>
    <w:uiPriority w:val="0"/>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1"/>
    <w:next w:val="118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1"/>
    <w:next w:val="1028"/>
    <w:uiPriority w:val="0"/>
    <w:qFormat/>
    <w:pPr>
      <w:ind w:left="0" w:firstLine="2560"/>
      <w:spacing w:before="0" w:after="0" w:line="240" w:lineRule="auto"/>
    </w:pPr>
    <w:rPr>
      <w:rFonts w:ascii="Times New Roman" w:hAnsi="Times New Roman" w:cs="Times New Roman"/>
    </w:rPr>
  </w:style>
  <w:style w:type="paragraph" w:styleId="1189" w:customStyle="1">
    <w:name w:val="纯文本2"/>
    <w:basedOn w:val="991"/>
    <w:next w:val="1190"/>
    <w:uiPriority w:val="0"/>
    <w:qFormat/>
    <w:pPr>
      <w:ind w:left="0" w:firstLine="3584"/>
      <w:spacing w:before="0" w:after="0" w:line="240" w:lineRule="auto"/>
    </w:pPr>
    <w:rPr>
      <w:rFonts w:ascii="Times New Roman" w:hAnsi="Times New Roman" w:cs="Times New Roman"/>
    </w:rPr>
  </w:style>
  <w:style w:type="paragraph" w:styleId="1190" w:customStyle="1">
    <w:name w:val="xl69"/>
    <w:basedOn w:val="991"/>
    <w:next w:val="1191"/>
    <w:uiPriority w:val="0"/>
    <w:qFormat/>
    <w:pPr>
      <w:ind w:left="0" w:firstLine="3584"/>
      <w:spacing w:before="280" w:after="280" w:line="240" w:lineRule="auto"/>
    </w:pPr>
    <w:rPr>
      <w:rFonts w:ascii="Times New Roman" w:hAnsi="Times New Roman" w:cs="Times New Roman"/>
    </w:rPr>
  </w:style>
  <w:style w:type="paragraph" w:styleId="1191" w:customStyle="1">
    <w:name w:val="Char Char Char"/>
    <w:basedOn w:val="991"/>
    <w:next w:val="1192"/>
    <w:uiPriority w:val="0"/>
    <w:qFormat/>
    <w:pPr>
      <w:ind w:left="0" w:firstLine="2560"/>
      <w:spacing w:before="0" w:after="0" w:line="240" w:lineRule="auto"/>
    </w:pPr>
    <w:rPr>
      <w:rFonts w:ascii="Times New Roman" w:hAnsi="Times New Roman" w:cs="Times New Roman"/>
    </w:rPr>
  </w:style>
  <w:style w:type="paragraph" w:styleId="1192" w:customStyle="1">
    <w:name w:val="表格"/>
    <w:basedOn w:val="991"/>
    <w:next w:val="1187"/>
    <w:uiPriority w:val="0"/>
    <w:qFormat/>
    <w:pPr>
      <w:ind w:left="0" w:firstLine="2560"/>
      <w:spacing w:before="0" w:after="0" w:line="360" w:lineRule="auto"/>
    </w:pPr>
    <w:rPr>
      <w:rFonts w:ascii="Times New Roman" w:hAnsi="Times New Roman" w:cs="Times New Roman"/>
    </w:rPr>
  </w:style>
  <w:style w:type="paragraph" w:styleId="1193" w:customStyle="1">
    <w:name w:val="xl68"/>
    <w:basedOn w:val="991"/>
    <w:next w:val="1194"/>
    <w:uiPriority w:val="0"/>
    <w:qFormat/>
    <w:pPr>
      <w:ind w:left="100" w:firstLine="5220"/>
      <w:spacing w:before="280" w:after="280" w:line="240" w:lineRule="auto"/>
    </w:pPr>
    <w:rPr>
      <w:rFonts w:ascii="Times New Roman" w:hAnsi="Times New Roman" w:cs="Times New Roman"/>
    </w:rPr>
  </w:style>
  <w:style w:type="paragraph" w:styleId="1194" w:customStyle="1">
    <w:name w:val="Char1"/>
    <w:basedOn w:val="991"/>
    <w:next w:val="1195"/>
    <w:uiPriority w:val="0"/>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1"/>
    <w:next w:val="1196"/>
    <w:uiPriority w:val="0"/>
    <w:qFormat/>
    <w:pPr>
      <w:ind w:left="437" w:firstLine="2741"/>
      <w:spacing w:before="0" w:after="0" w:line="360" w:lineRule="auto"/>
    </w:pPr>
    <w:rPr>
      <w:rFonts w:ascii="Times New Roman" w:hAnsi="Times New Roman" w:cs="Times New Roman"/>
    </w:rPr>
  </w:style>
  <w:style w:type="paragraph" w:styleId="1196" w:customStyle="1">
    <w:name w:val="xl74"/>
    <w:basedOn w:val="991"/>
    <w:next w:val="119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1"/>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xl70"/>
    <w:basedOn w:val="991"/>
    <w:next w:val="1044"/>
    <w:uiPriority w:val="0"/>
    <w:qFormat/>
    <w:pPr>
      <w:ind w:left="0" w:firstLine="1024"/>
      <w:spacing w:before="280" w:after="280" w:line="240" w:lineRule="auto"/>
    </w:pPr>
    <w:rPr>
      <w:rFonts w:ascii="Times New Roman" w:hAnsi="Times New Roman" w:cs="Times New Roman"/>
    </w:rPr>
  </w:style>
  <w:style w:type="paragraph" w:styleId="1199" w:customStyle="1">
    <w:name w:val="文档标题5"/>
    <w:basedOn w:val="996"/>
    <w:next w:val="990"/>
    <w:uiPriority w:val="0"/>
    <w:qFormat/>
    <w:pPr>
      <w:ind w:left="992" w:firstLine="18"/>
      <w:spacing w:before="280" w:after="280" w:line="360" w:lineRule="auto"/>
      <w:outlineLvl w:val="4"/>
    </w:pPr>
  </w:style>
  <w:style w:type="paragraph" w:styleId="1200" w:customStyle="1">
    <w:name w:val="样式 加粗 居中"/>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02" w:customStyle="1">
    <w:name w:val="正文文本缩进1"/>
    <w:basedOn w:val="991"/>
    <w:next w:val="1203"/>
    <w:uiPriority w:val="0"/>
    <w:qFormat/>
    <w:pPr>
      <w:ind w:left="420" w:firstLine="3584"/>
      <w:spacing w:before="0" w:after="120" w:line="240" w:lineRule="auto"/>
    </w:pPr>
    <w:rPr>
      <w:rFonts w:ascii="Times New Roman" w:hAnsi="Times New Roman" w:cs="Times New Roman"/>
    </w:rPr>
  </w:style>
  <w:style w:type="paragraph" w:styleId="1203" w:customStyle="1">
    <w:name w:val="列表编号 31"/>
    <w:basedOn w:val="991"/>
    <w:next w:val="104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991"/>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1"/>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1"/>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1"/>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991"/>
    <w:next w:val="1200"/>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991"/>
    <w:next w:val="1170"/>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991"/>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991"/>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991"/>
    <w:next w:val="990"/>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991"/>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1"/>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1"/>
    <w:next w:val="990"/>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1024"/>
    <w:uiPriority w:val="0"/>
    <w:qFormat/>
    <w:pPr>
      <w:ind w:firstLine="5120"/>
      <w:widowControl w:val="off"/>
    </w:pPr>
    <w:rPr>
      <w:rFonts w:ascii="Calibri" w:hAnsi="Calibri" w:eastAsia="宋体" w:cs="宋体"/>
      <w:lang w:val="en-US" w:eastAsia="zh-CN" w:bidi="ar-SA"/>
    </w:rPr>
  </w:style>
  <w:style w:type="paragraph" w:styleId="1220" w:customStyle="1">
    <w:name w:val="xl84"/>
    <w:basedOn w:val="991"/>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3"/>
    <w:next w:val="1222"/>
    <w:uiPriority w:val="0"/>
    <w:qFormat/>
    <w:pPr>
      <w:ind w:left="0" w:firstLine="24"/>
      <w:jc w:val="center"/>
      <w:spacing w:before="0" w:after="0" w:line="360" w:lineRule="auto"/>
      <w:outlineLvl w:val="1"/>
    </w:pPr>
  </w:style>
  <w:style w:type="paragraph" w:styleId="1222" w:customStyle="1">
    <w:name w:val="应答文本"/>
    <w:basedOn w:val="991"/>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991"/>
    <w:next w:val="990"/>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90"/>
    <w:uiPriority w:val="0"/>
    <w:qFormat/>
    <w:pPr>
      <w:ind w:firstLine="480"/>
    </w:pPr>
    <w:rPr>
      <w:rFonts w:ascii="Times New Roman" w:hAnsi="Times New Roman" w:cs="Times New Roman"/>
      <w:lang w:val="zh-CN"/>
    </w:rPr>
  </w:style>
  <w:style w:type="paragraph" w:styleId="1225" w:customStyle="1">
    <w:name w:val="font9"/>
    <w:basedOn w:val="991"/>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4"/>
    <w:next w:val="1227"/>
    <w:uiPriority w:val="0"/>
    <w:qFormat/>
    <w:pPr>
      <w:ind w:left="0"/>
      <w:spacing w:before="0" w:after="0" w:line="400" w:lineRule="exact"/>
      <w:outlineLvl w:val="2"/>
    </w:pPr>
  </w:style>
  <w:style w:type="paragraph" w:styleId="1227" w:customStyle="1">
    <w:name w:val="标书正文"/>
    <w:basedOn w:val="991"/>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991"/>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991"/>
    <w:next w:val="990"/>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1"/>
    <w:next w:val="990"/>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991"/>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3" w:customStyle="1">
    <w:name w:val="1ji"/>
    <w:basedOn w:val="992"/>
    <w:next w:val="1212"/>
    <w:uiPriority w:val="0"/>
    <w:qFormat/>
    <w:pPr>
      <w:ind w:left="0" w:firstLine="18"/>
      <w:jc w:val="center"/>
      <w:spacing w:before="0" w:after="0" w:line="240" w:lineRule="auto"/>
      <w:outlineLvl w:val="0"/>
    </w:pPr>
  </w:style>
  <w:style w:type="paragraph" w:styleId="1234" w:customStyle="1">
    <w:name w:val="索引 81"/>
    <w:basedOn w:val="991"/>
    <w:next w:val="990"/>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90"/>
    <w:next w:val="990"/>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1"/>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1"/>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991"/>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1"/>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991"/>
    <w:next w:val="991"/>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990"/>
    <w:uiPriority w:val="0"/>
    <w:qFormat/>
    <w:pPr>
      <w:ind w:left="3680" w:right="864"/>
      <w:jc w:val="center"/>
      <w:spacing w:before="200" w:after="160"/>
    </w:pPr>
    <w:rPr>
      <w:rFonts w:ascii="Calibri" w:hAnsi="Calibri" w:eastAsia="宋体" w:cs="宋体"/>
      <w:i/>
      <w:lang w:val="en-US" w:eastAsia="zh-CN" w:bidi="ar-SA"/>
    </w:rPr>
  </w:style>
  <w:style w:type="paragraph" w:styleId="1242" w:customStyle="1">
    <w:name w:val="Default Paragraph Font Para Char Char Char Char Char Char"/>
    <w:basedOn w:val="991"/>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991"/>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1"/>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3"/>
    <w:next w:val="1246"/>
    <w:uiPriority w:val="0"/>
    <w:qFormat/>
    <w:pPr>
      <w:ind w:left="0" w:firstLine="24"/>
      <w:jc w:val="center"/>
      <w:spacing w:line="412" w:lineRule="auto"/>
      <w:outlineLvl w:val="1"/>
    </w:pPr>
  </w:style>
  <w:style w:type="paragraph" w:styleId="1246" w:customStyle="1">
    <w:name w:val="页脚 Char Char"/>
    <w:basedOn w:val="991"/>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2"/>
    <w:next w:val="1248"/>
    <w:uiPriority w:val="0"/>
    <w:qFormat/>
    <w:pPr>
      <w:ind w:left="0" w:firstLine="18"/>
      <w:jc w:val="center"/>
      <w:spacing w:before="120" w:after="0" w:line="360" w:lineRule="auto"/>
      <w:outlineLvl w:val="0"/>
    </w:pPr>
  </w:style>
  <w:style w:type="paragraph" w:styleId="1248" w:customStyle="1">
    <w:name w:val="Char1 Char Char Char Char Char Char"/>
    <w:basedOn w:val="991"/>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995"/>
    <w:next w:val="990"/>
    <w:uiPriority w:val="0"/>
    <w:qFormat/>
    <w:pPr>
      <w:ind w:left="851" w:firstLine="30"/>
      <w:spacing w:after="280" w:line="360" w:lineRule="auto"/>
      <w:outlineLvl w:val="3"/>
    </w:pPr>
  </w:style>
  <w:style w:type="paragraph" w:styleId="1250" w:customStyle="1">
    <w:name w:val="font0"/>
    <w:basedOn w:val="991"/>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991"/>
    <w:next w:val="990"/>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991"/>
    <w:next w:val="990"/>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991"/>
    <w:next w:val="1189"/>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990"/>
    <w:uiPriority w:val="0"/>
    <w:qFormat/>
    <w:pPr>
      <w:ind w:firstLine="200"/>
      <w:jc w:val="both"/>
      <w:spacing w:line="360" w:lineRule="auto"/>
    </w:pPr>
    <w:rPr>
      <w:rFonts w:ascii="宋体" w:hAnsi="宋体" w:eastAsia="宋体" w:cs="宋体"/>
      <w:sz w:val="24"/>
      <w:szCs w:val="22"/>
      <w:lang w:val="en-US" w:eastAsia="zh-CN" w:bidi="ar-SA"/>
    </w:rPr>
  </w:style>
  <w:style w:type="paragraph" w:styleId="1255" w:customStyle="1">
    <w:name w:val="标书_正文"/>
    <w:basedOn w:val="991"/>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3"/>
    <w:next w:val="1204"/>
    <w:uiPriority w:val="0"/>
    <w:qFormat/>
    <w:pPr>
      <w:ind w:left="0" w:firstLine="24"/>
      <w:spacing w:before="100" w:after="0" w:line="400" w:lineRule="exact"/>
      <w:outlineLvl w:val="1"/>
    </w:pPr>
  </w:style>
  <w:style w:type="paragraph" w:styleId="1257" w:customStyle="1">
    <w:name w:val="图片0"/>
    <w:basedOn w:val="991"/>
    <w:next w:val="1037"/>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1"/>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ascii="Calibri" w:hAnsi="Calibri" w:eastAsia="宋体" w:cs="宋体"/>
      <w:lang w:val="en-US" w:eastAsia="zh-CN" w:bidi="ar-SA"/>
    </w:rPr>
  </w:style>
  <w:style w:type="paragraph" w:styleId="1260" w:customStyle="1">
    <w:name w:val="杨昂超式样黑体主"/>
    <w:basedOn w:val="991"/>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1"/>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991"/>
    <w:next w:val="990"/>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1"/>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993"/>
    <w:next w:val="1032"/>
    <w:uiPriority w:val="0"/>
    <w:qFormat/>
    <w:pPr>
      <w:ind w:left="0" w:firstLine="24"/>
      <w:spacing w:before="0" w:after="0" w:line="360" w:lineRule="auto"/>
      <w:outlineLvl w:val="1"/>
    </w:pPr>
  </w:style>
  <w:style w:type="paragraph" w:styleId="1265" w:customStyle="1">
    <w:name w:val="xl91"/>
    <w:basedOn w:val="991"/>
    <w:next w:val="1186"/>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991"/>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991"/>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1"/>
    <w:next w:val="990"/>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4"/>
    <w:next w:val="1270"/>
    <w:uiPriority w:val="0"/>
    <w:qFormat/>
    <w:pPr>
      <w:ind w:left="1429" w:firstLine="18"/>
      <w:spacing w:before="100" w:after="100" w:line="360" w:lineRule="auto"/>
      <w:outlineLvl w:val="2"/>
    </w:pPr>
  </w:style>
  <w:style w:type="paragraph" w:styleId="1270" w:customStyle="1">
    <w:name w:val="xl22"/>
    <w:basedOn w:val="991"/>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1"/>
    <w:next w:val="990"/>
    <w:uiPriority w:val="0"/>
    <w:qFormat/>
    <w:pPr>
      <w:ind w:left="0"/>
      <w:spacing w:before="0" w:after="0" w:line="360" w:lineRule="auto"/>
    </w:pPr>
    <w:rPr>
      <w:rFonts w:ascii="Times New Roman" w:hAnsi="Times New Roman" w:cs="Times New Roman"/>
    </w:rPr>
  </w:style>
  <w:style w:type="paragraph" w:styleId="1272" w:customStyle="1">
    <w:name w:val="xl78"/>
    <w:basedOn w:val="991"/>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4" w:customStyle="1">
    <w:name w:val="_Style 169"/>
    <w:next w:val="990"/>
    <w:uiPriority w:val="0"/>
    <w:qFormat/>
    <w:pPr>
      <w:ind w:left="2560"/>
    </w:pPr>
    <w:rPr>
      <w:rFonts w:ascii="Calibri" w:hAnsi="Calibri" w:eastAsia="宋体" w:cs="宋体"/>
      <w:lang w:val="en-US" w:eastAsia="zh-CN" w:bidi="ar-SA"/>
    </w:rPr>
  </w:style>
  <w:style w:type="paragraph" w:styleId="1275" w:customStyle="1">
    <w:name w:val="样式 小四 行距: 1.5 倍行距 首行缩进:  2 字符"/>
    <w:basedOn w:val="991"/>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991"/>
    <w:next w:val="990"/>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1"/>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991"/>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991"/>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991"/>
    <w:next w:val="990"/>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ascii="Calibri" w:hAnsi="Calibri" w:eastAsia="宋体" w:cs="宋体"/>
      <w:lang w:val="en-US" w:eastAsia="zh-CN" w:bidi="ar-SA"/>
    </w:rPr>
  </w:style>
  <w:style w:type="paragraph" w:styleId="1283" w:customStyle="1">
    <w:name w:val="4"/>
    <w:basedOn w:val="991"/>
    <w:next w:val="1016"/>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1"/>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1"/>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991"/>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991"/>
    <w:next w:val="990"/>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1"/>
    <w:next w:val="990"/>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990"/>
    <w:uiPriority w:val="0"/>
    <w:qFormat/>
    <w:pPr>
      <w:ind w:left="0"/>
    </w:pPr>
    <w:rPr>
      <w:rFonts w:ascii="宋体" w:hAnsi="宋体"/>
      <w:sz w:val="28"/>
      <w:szCs w:val="28"/>
    </w:rPr>
  </w:style>
  <w:style w:type="paragraph" w:styleId="1290" w:customStyle="1">
    <w:name w:val="四号 居中"/>
    <w:basedOn w:val="991"/>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990"/>
    <w:uiPriority w:val="0"/>
    <w:qFormat/>
    <w:pPr>
      <w:ind w:firstLine="2048"/>
      <w:spacing w:line="360" w:lineRule="auto"/>
    </w:pPr>
    <w:rPr>
      <w:rFonts w:ascii="Calibri" w:hAnsi="Calibri" w:eastAsia="宋体" w:cs="宋体"/>
      <w:lang w:val="en-US" w:eastAsia="zh-CN" w:bidi="ar-SA"/>
    </w:rPr>
  </w:style>
  <w:style w:type="paragraph" w:styleId="1292" w:customStyle="1">
    <w:name w:val="列表编号 21"/>
    <w:basedOn w:val="991"/>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991"/>
    <w:next w:val="1174"/>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991"/>
    <w:next w:val="1029"/>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991"/>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1"/>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991"/>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991"/>
    <w:next w:val="1010"/>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1"/>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ascii="Calibri" w:hAnsi="Calibri" w:eastAsia="宋体" w:cs="宋体"/>
      <w:lang w:val="en-US" w:eastAsia="zh-CN" w:bidi="ar-SA"/>
    </w:rPr>
  </w:style>
  <w:style w:type="paragraph" w:styleId="1301" w:customStyle="1">
    <w:name w:val="文档正文"/>
    <w:basedOn w:val="991"/>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ascii="Calibri" w:hAnsi="Calibri" w:eastAsia="宋体" w:cs="宋体"/>
      <w:lang w:val="en-US" w:eastAsia="zh-CN" w:bidi="ar-SA"/>
    </w:rPr>
  </w:style>
  <w:style w:type="paragraph" w:styleId="1303" w:customStyle="1">
    <w:name w:val="font10"/>
    <w:basedOn w:val="991"/>
    <w:next w:val="1022"/>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991"/>
    <w:next w:val="1034"/>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991"/>
    <w:next w:val="990"/>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1"/>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ascii="Calibri" w:hAnsi="Calibri" w:eastAsia="宋体" w:cs="宋体"/>
      <w:lang w:val="en-US" w:eastAsia="zh-CN" w:bidi="ar-SA"/>
    </w:rPr>
  </w:style>
  <w:style w:type="paragraph" w:styleId="1308" w:customStyle="1">
    <w:name w:val="!方块加粗"/>
    <w:basedOn w:val="991"/>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991"/>
    <w:next w:val="103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1"/>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991"/>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1"/>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991"/>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5"/>
    <w:next w:val="1315"/>
    <w:uiPriority w:val="0"/>
    <w:qFormat/>
    <w:pPr>
      <w:ind w:left="426" w:firstLine="24"/>
      <w:spacing w:before="0" w:after="0" w:line="360" w:lineRule="auto"/>
      <w:outlineLvl w:val="3"/>
    </w:pPr>
  </w:style>
  <w:style w:type="paragraph" w:styleId="1315" w:customStyle="1">
    <w:name w:val="xl82"/>
    <w:basedOn w:val="991"/>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7" w:customStyle="1">
    <w:name w:val="Char Char Char Char Char Char1 Char Char Char1 Char Char Char Char Char Char Char Char Char Char Char Char Char Char Char"/>
    <w:basedOn w:val="991"/>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991"/>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991"/>
    <w:next w:val="990"/>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1"/>
    <w:next w:val="990"/>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ascii="Calibri" w:hAnsi="Calibri" w:eastAsia="宋体" w:cs="宋体"/>
      <w:lang w:val="en-US" w:eastAsia="zh-CN" w:bidi="ar-SA"/>
    </w:rPr>
  </w:style>
  <w:style w:type="paragraph" w:styleId="1322" w:customStyle="1">
    <w:name w:val="Char Char Char Char Char Char1"/>
    <w:basedOn w:val="991"/>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991"/>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991"/>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1"/>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ascii="Calibri" w:hAnsi="Calibri" w:eastAsia="宋体" w:cs="宋体"/>
      <w:lang w:val="en-US" w:eastAsia="zh-CN" w:bidi="ar-SA"/>
    </w:rPr>
  </w:style>
  <w:style w:type="paragraph" w:styleId="1327" w:customStyle="1">
    <w:name w:val="Char2"/>
    <w:basedOn w:val="991"/>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ascii="宋体" w:hAnsi="宋体" w:eastAsia="宋体" w:cs="宋体"/>
      <w:lang w:val="en-US" w:eastAsia="zh-CN" w:bidi="ar-SA"/>
    </w:rPr>
  </w:style>
  <w:style w:type="paragraph" w:styleId="1329" w:customStyle="1">
    <w:name w:val="纯文本4"/>
    <w:basedOn w:val="990"/>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1"/>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991"/>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2"/>
    <w:next w:val="1333"/>
    <w:uiPriority w:val="0"/>
    <w:qFormat/>
    <w:pPr>
      <w:ind w:left="432" w:firstLine="18"/>
      <w:spacing w:before="40" w:after="40" w:line="360" w:lineRule="auto"/>
      <w:outlineLvl w:val="0"/>
    </w:pPr>
  </w:style>
  <w:style w:type="paragraph" w:styleId="1333" w:customStyle="1">
    <w:name w:val="表格用"/>
    <w:basedOn w:val="991"/>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991"/>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991"/>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1"/>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ascii="Calibri" w:hAnsi="Calibri" w:eastAsia="宋体" w:cs="宋体"/>
      <w:lang w:val="en-US" w:eastAsia="zh-CN" w:bidi="ar-SA"/>
    </w:rPr>
  </w:style>
  <w:style w:type="paragraph" w:styleId="1338" w:customStyle="1">
    <w:name w:val="正文文本缩进 21"/>
    <w:basedOn w:val="991"/>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1"/>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990"/>
    <w:uiPriority w:val="0"/>
    <w:qFormat/>
    <w:pPr>
      <w:ind w:firstLine="3584"/>
      <w:widowControl w:val="off"/>
    </w:pPr>
    <w:rPr>
      <w:rFonts w:ascii="Calibri" w:hAnsi="Calibri" w:eastAsia="宋体" w:cs="宋体"/>
      <w:lang w:val="en-US" w:eastAsia="zh-CN" w:bidi="ar-SA"/>
    </w:rPr>
  </w:style>
  <w:style w:type="paragraph" w:styleId="1341" w:customStyle="1">
    <w:name w:val="TOC 标题1"/>
    <w:basedOn w:val="992"/>
    <w:next w:val="990"/>
    <w:uiPriority w:val="0"/>
    <w:qFormat/>
    <w:pPr>
      <w:ind w:left="0" w:firstLine="6144"/>
      <w:spacing w:before="480" w:after="0" w:line="276" w:lineRule="auto"/>
    </w:pPr>
    <w:rPr>
      <w:b/>
      <w:sz w:val="30"/>
    </w:rPr>
  </w:style>
  <w:style w:type="paragraph" w:styleId="1342" w:customStyle="1">
    <w:name w:val="纯文本3"/>
    <w:basedOn w:val="990"/>
    <w:uiPriority w:val="0"/>
    <w:qFormat/>
    <w:rPr>
      <w:rFonts w:ascii="宋体" w:hAnsi="Courier New" w:cs="Times New Roman"/>
    </w:rPr>
  </w:style>
  <w:style w:type="paragraph" w:styleId="1343" w:customStyle="1">
    <w:name w:val="afont"/>
    <w:basedOn w:val="991"/>
    <w:next w:val="1014"/>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991"/>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1"/>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1"/>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991"/>
    <w:next w:val="990"/>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90"/>
    <w:uiPriority w:val="0"/>
    <w:qFormat/>
    <w:pPr>
      <w:ind w:left="0"/>
      <w:jc w:val="left"/>
    </w:pPr>
    <w:rPr>
      <w:rFonts w:ascii="宋体" w:hAnsi="宋体" w:eastAsia="楷体_GB2312" w:cs="Courier New"/>
      <w:sz w:val="26"/>
      <w:lang w:val="zh-CN"/>
    </w:rPr>
  </w:style>
  <w:style w:type="paragraph" w:styleId="1349" w:customStyle="1">
    <w:name w:val="样式 加粗 居中2"/>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1"/>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991"/>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991"/>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1"/>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991"/>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991"/>
    <w:next w:val="990"/>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991"/>
    <w:next w:val="990"/>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1"/>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990"/>
    <w:next w:val="1265"/>
    <w:uiPriority w:val="0"/>
    <w:qFormat/>
    <w:pPr>
      <w:ind w:left="420" w:firstLine="3748"/>
    </w:pPr>
    <w:rPr>
      <w:rFonts w:ascii="Times New Roman" w:hAnsi="Times New Roman" w:cs="Times New Roman"/>
    </w:rPr>
  </w:style>
  <w:style w:type="paragraph" w:styleId="1359" w:customStyle="1">
    <w:name w:val="xl73"/>
    <w:basedOn w:val="991"/>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991"/>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6"/>
    <w:next w:val="1362"/>
    <w:uiPriority w:val="0"/>
    <w:qFormat/>
    <w:pPr>
      <w:ind w:left="1134" w:firstLine="18"/>
      <w:spacing w:before="0" w:after="0" w:line="360" w:lineRule="auto"/>
      <w:outlineLvl w:val="4"/>
    </w:pPr>
  </w:style>
  <w:style w:type="paragraph" w:styleId="1362" w:customStyle="1">
    <w:name w:val="日期1"/>
    <w:basedOn w:val="991"/>
    <w:next w:val="990"/>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991"/>
    <w:next w:val="990"/>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1"/>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1"/>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1"/>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990"/>
    <w:uiPriority w:val="0"/>
    <w:qFormat/>
    <w:pPr>
      <w:ind w:left="3766" w:right="950"/>
      <w:jc w:val="center"/>
      <w:spacing w:before="360" w:after="360"/>
    </w:pPr>
    <w:rPr>
      <w:rFonts w:ascii="Calibri" w:hAnsi="Calibri" w:eastAsia="宋体" w:cs="宋体"/>
      <w:i/>
      <w:lang w:val="en-US" w:eastAsia="zh-CN" w:bidi="ar-SA"/>
    </w:rPr>
  </w:style>
  <w:style w:type="paragraph" w:styleId="1368" w:customStyle="1">
    <w:name w:val="索引 51"/>
    <w:basedOn w:val="991"/>
    <w:next w:val="990"/>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1"/>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1"/>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2" w:customStyle="1">
    <w:name w:val="修订2"/>
    <w:uiPriority w:val="0"/>
    <w:qFormat/>
    <w:rPr>
      <w:rFonts w:ascii="Calibri" w:hAnsi="Calibri" w:eastAsia="宋体" w:cs="宋体"/>
      <w:lang w:val="en-US" w:eastAsia="zh-CN" w:bidi="ar-SA"/>
    </w:rPr>
  </w:style>
  <w:style w:type="paragraph" w:styleId="1373" w:customStyle="1">
    <w:name w:val="Body"/>
    <w:next w:val="1305"/>
    <w:uiPriority w:val="0"/>
    <w:qFormat/>
    <w:pPr>
      <w:ind w:left="567" w:right="2835" w:firstLine="3584"/>
      <w:spacing w:after="60"/>
    </w:pPr>
    <w:rPr>
      <w:rFonts w:ascii="Calibri" w:hAnsi="Calibri" w:eastAsia="宋体" w:cs="宋体"/>
      <w:lang w:val="en-US" w:eastAsia="zh-CN" w:bidi="ar-SA"/>
    </w:rPr>
  </w:style>
  <w:style w:type="paragraph" w:styleId="1374" w:customStyle="1">
    <w:name w:val="font6"/>
    <w:basedOn w:val="991"/>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16"/>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ascii="Calibri" w:hAnsi="Calibri" w:eastAsia="宋体" w:cs="宋体"/>
      <w:lang w:val="en-US" w:eastAsia="zh-CN" w:bidi="ar-SA"/>
    </w:rPr>
  </w:style>
  <w:style w:type="paragraph" w:styleId="1377"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8" w:customStyle="1">
    <w:name w:val="font7"/>
    <w:basedOn w:val="991"/>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1"/>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991"/>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991"/>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991"/>
    <w:next w:val="990"/>
    <w:uiPriority w:val="0"/>
    <w:qFormat/>
    <w:pPr>
      <w:ind w:left="0" w:firstLine="3584"/>
      <w:spacing w:before="0" w:after="0" w:line="240" w:lineRule="auto"/>
    </w:pPr>
    <w:rPr>
      <w:rFonts w:ascii="Times New Roman" w:hAnsi="Times New Roman" w:cs="Times New Roman"/>
    </w:rPr>
  </w:style>
  <w:style w:type="paragraph" w:styleId="1383" w:customStyle="1">
    <w:name w:val="H 3"/>
    <w:basedOn w:val="994"/>
    <w:next w:val="1384"/>
    <w:uiPriority w:val="0"/>
    <w:qFormat/>
    <w:pPr>
      <w:ind w:left="1429" w:firstLine="18"/>
      <w:spacing w:before="0" w:after="0" w:line="360" w:lineRule="auto"/>
      <w:outlineLvl w:val="2"/>
    </w:pPr>
  </w:style>
  <w:style w:type="paragraph" w:styleId="1384" w:customStyle="1">
    <w:name w:val="xl83"/>
    <w:basedOn w:val="991"/>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1"/>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1"/>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991"/>
    <w:next w:val="1023"/>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90"/>
    <w:uiPriority w:val="1"/>
    <w:qFormat/>
    <w:rPr>
      <w:rFonts w:ascii="宋体" w:hAnsi="宋体"/>
      <w:lang w:val="zh-CN" w:bidi="zh-CN"/>
    </w:rPr>
  </w:style>
  <w:style w:type="paragraph" w:styleId="1390" w:customStyle="1">
    <w:name w:val="_Style 400"/>
    <w:uiPriority w:val="0"/>
    <w:qFormat/>
    <w:rPr>
      <w:rFonts w:ascii="Calibri" w:hAnsi="Calibri" w:eastAsia="宋体" w:cs="宋体"/>
      <w:lang w:val="en-US" w:eastAsia="zh-CN" w:bidi="ar-SA"/>
    </w:rPr>
  </w:style>
  <w:style w:type="paragraph" w:styleId="1391" w:customStyle="1">
    <w:name w:val="Style1"/>
    <w:basedOn w:val="99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1"/>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1"/>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991"/>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ascii="Calibri" w:hAnsi="Calibri" w:eastAsia="宋体" w:cs="宋体"/>
      <w:lang w:val="en-US" w:eastAsia="zh-CN" w:bidi="ar-SA"/>
    </w:rPr>
  </w:style>
  <w:style w:type="paragraph" w:styleId="1396" w:customStyle="1">
    <w:name w:val="xl72"/>
    <w:basedOn w:val="991"/>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990"/>
    <w:uiPriority w:val="0"/>
    <w:qFormat/>
    <w:pPr>
      <w:ind w:firstLine="4608"/>
      <w:jc w:val="center"/>
    </w:pPr>
    <w:rPr>
      <w:rFonts w:ascii="Calibri" w:hAnsi="Calibri" w:eastAsia="宋体" w:cs="宋体"/>
      <w:lang w:val="en-US" w:eastAsia="zh-CN" w:bidi="ar-SA"/>
    </w:rPr>
  </w:style>
  <w:style w:type="paragraph" w:styleId="1398" w:customStyle="1">
    <w:name w:val="列出段落3"/>
    <w:basedOn w:val="991"/>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991"/>
    <w:next w:val="990"/>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1"/>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ascii="宋体" w:hAnsi="宋体" w:eastAsia="宋体" w:cs="宋体"/>
      <w:lang w:val="en-US" w:eastAsia="zh-CN" w:bidi="ar-SA"/>
    </w:rPr>
  </w:style>
  <w:style w:type="paragraph" w:styleId="1402" w:customStyle="1">
    <w:name w:val="表内文字"/>
    <w:basedOn w:val="991"/>
    <w:next w:val="1031"/>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1"/>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990"/>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1"/>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1001"/>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numbering" w:styleId="1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8EEC744-174E-45D1-9229-57AB2938BFC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17</cp:revision>
  <dcterms:created xsi:type="dcterms:W3CDTF">2025-11-03T06:39:00Z</dcterms:created>
  <dcterms:modified xsi:type="dcterms:W3CDTF">2025-11-07T02:28:35Z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9A140DA1C2A647E996713053DD23D4F5_13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